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&#65279;<?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 Id="CGWMD6GC79UA00TGRYR8MLJM7NZ0O7GR9F06TJDBXGORTECT6DBRKCJUFSUHPB6RBFMX9OLKZH078HEJEFFTVFFV89D0WHWBANOOIHB38C70CBAFDB6A333FC2CB3BD73B198984" Type="http://schemas.microsoft.com/office/2006/relationships/officeDocumentMain" Target="NULL"/><Relationship Id="SYWFY6GP79VA06HG9ZR8PLJM7ZQMOYPRQO0XOJD7XFBRTQWT60BRVCJAFS6HPD6RXUMXSOLJZIA78HJJQXFTDFFN8RF0WMCBAFOOKHB3891F841467232B25D79D749CD30F433A" Type="http://schemas.microsoft.com/office/2006/relationships/officeDocumentExtended"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Fonts w:hint="eastAsia" w:ascii="黑体" w:hAnsi="黑体" w:eastAsia="黑体"/>
          <w:b/>
          <w:sz w:val="44"/>
          <w:szCs w:val="44"/>
        </w:rPr>
        <w:t>兴银理财天天万利宝稳利净值型理财产品</w:t>
      </w: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r>
        <w:rPr>
          <w:rStyle w:val="27"/>
          <w:rFonts w:hint="eastAsia" w:ascii="宋体" w:hAnsi="宋体" w:cs="Times New Roman"/>
          <w:sz w:val="32"/>
          <w:szCs w:val="32"/>
        </w:rPr>
        <w:t>【2022】年【</w:t>
      </w:r>
      <w:r>
        <w:rPr>
          <w:rStyle w:val="27"/>
          <w:rFonts w:ascii="宋体" w:hAnsi="宋体" w:cs="Times New Roman"/>
          <w:sz w:val="32"/>
          <w:szCs w:val="32"/>
        </w:rPr>
        <w:t>10</w:t>
      </w:r>
      <w:r>
        <w:rPr>
          <w:rStyle w:val="27"/>
          <w:rFonts w:hint="eastAsia" w:ascii="宋体" w:hAnsi="宋体" w:cs="Times New Roman"/>
          <w:sz w:val="32"/>
          <w:szCs w:val="32"/>
        </w:rPr>
        <w:t>】月</w:t>
      </w:r>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sectPr>
          <w:footerReference r:id="rId5" w:type="first"/>
          <w:headerReference r:id="rId3" w:type="default"/>
          <w:footerReference r:id="rId4" w:type="default"/>
          <w:pgSz w:w="11906" w:h="16838"/>
          <w:pgMar w:top="1276" w:right="1800" w:bottom="1418" w:left="1800" w:header="567" w:footer="850" w:gutter="0"/>
          <w:cols w:space="425" w:num="1"/>
          <w:titlePg/>
          <w:docGrid w:type="lines" w:linePitch="312" w:charSpace="0"/>
        </w:sectPr>
      </w:pP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306"/>
            </w:tabs>
          </w:pPr>
          <w:r>
            <w:fldChar w:fldCharType="begin"/>
          </w:r>
          <w:r>
            <w:instrText xml:space="preserve"> TOC \o "1-3" \h \z \u </w:instrText>
          </w:r>
          <w:r>
            <w:fldChar w:fldCharType="separate"/>
          </w:r>
          <w:r>
            <w:fldChar w:fldCharType="begin"/>
          </w:r>
          <w:r>
            <w:instrText xml:space="preserve"> HYPERLINK \l "_Toc9482"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_Toc9482 \h </w:instrText>
          </w:r>
          <w:r>
            <w:fldChar w:fldCharType="separate"/>
          </w:r>
          <w:r>
            <w:t>1</w:t>
          </w:r>
          <w:r>
            <w:fldChar w:fldCharType="end"/>
          </w:r>
          <w:r>
            <w:fldChar w:fldCharType="end"/>
          </w:r>
        </w:p>
        <w:p>
          <w:pPr>
            <w:pStyle w:val="16"/>
            <w:tabs>
              <w:tab w:val="right" w:leader="dot" w:pos="8306"/>
            </w:tabs>
          </w:pPr>
          <w:r>
            <w:fldChar w:fldCharType="begin"/>
          </w:r>
          <w:r>
            <w:instrText xml:space="preserve"> HYPERLINK \l "_Toc23998" </w:instrText>
          </w:r>
          <w:r>
            <w:fldChar w:fldCharType="separate"/>
          </w:r>
          <w:r>
            <w:rPr>
              <w:rFonts w:hint="eastAsia" w:hAnsi="宋体"/>
              <w:szCs w:val="28"/>
            </w:rPr>
            <w:t>第二条  理财产品基本情况</w:t>
          </w:r>
          <w:r>
            <w:tab/>
          </w:r>
          <w:r>
            <w:fldChar w:fldCharType="begin"/>
          </w:r>
          <w:r>
            <w:instrText xml:space="preserve"> PAGEREF _Toc23998 \h </w:instrText>
          </w:r>
          <w:r>
            <w:fldChar w:fldCharType="separate"/>
          </w:r>
          <w:r>
            <w:t>6</w:t>
          </w:r>
          <w:r>
            <w:fldChar w:fldCharType="end"/>
          </w:r>
          <w:r>
            <w:fldChar w:fldCharType="end"/>
          </w:r>
        </w:p>
        <w:p>
          <w:pPr>
            <w:pStyle w:val="16"/>
            <w:tabs>
              <w:tab w:val="right" w:leader="dot" w:pos="8306"/>
            </w:tabs>
          </w:pPr>
          <w:r>
            <w:fldChar w:fldCharType="begin"/>
          </w:r>
          <w:r>
            <w:instrText xml:space="preserve"> HYPERLINK \l "_Toc15862"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_Toc15862 \h </w:instrText>
          </w:r>
          <w:r>
            <w:fldChar w:fldCharType="separate"/>
          </w:r>
          <w:r>
            <w:t>13</w:t>
          </w:r>
          <w:r>
            <w:fldChar w:fldCharType="end"/>
          </w:r>
          <w:r>
            <w:fldChar w:fldCharType="end"/>
          </w:r>
        </w:p>
        <w:p>
          <w:pPr>
            <w:pStyle w:val="16"/>
            <w:tabs>
              <w:tab w:val="right" w:leader="dot" w:pos="8306"/>
            </w:tabs>
          </w:pPr>
          <w:r>
            <w:fldChar w:fldCharType="begin"/>
          </w:r>
          <w:r>
            <w:instrText xml:space="preserve"> HYPERLINK \l "_Toc28040"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_Toc28040 \h </w:instrText>
          </w:r>
          <w:r>
            <w:fldChar w:fldCharType="separate"/>
          </w:r>
          <w:r>
            <w:t>15</w:t>
          </w:r>
          <w:r>
            <w:fldChar w:fldCharType="end"/>
          </w:r>
          <w:r>
            <w:fldChar w:fldCharType="end"/>
          </w:r>
        </w:p>
        <w:p>
          <w:pPr>
            <w:pStyle w:val="16"/>
            <w:tabs>
              <w:tab w:val="right" w:leader="dot" w:pos="8306"/>
            </w:tabs>
          </w:pPr>
          <w:r>
            <w:fldChar w:fldCharType="begin"/>
          </w:r>
          <w:r>
            <w:instrText xml:space="preserve"> HYPERLINK \l "_Toc24722"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_Toc24722 \h </w:instrText>
          </w:r>
          <w:r>
            <w:fldChar w:fldCharType="separate"/>
          </w:r>
          <w:r>
            <w:t>19</w:t>
          </w:r>
          <w:r>
            <w:fldChar w:fldCharType="end"/>
          </w:r>
          <w:r>
            <w:fldChar w:fldCharType="end"/>
          </w:r>
        </w:p>
        <w:p>
          <w:pPr>
            <w:pStyle w:val="16"/>
            <w:tabs>
              <w:tab w:val="right" w:leader="dot" w:pos="8306"/>
            </w:tabs>
          </w:pPr>
          <w:r>
            <w:fldChar w:fldCharType="begin"/>
          </w:r>
          <w:r>
            <w:instrText xml:space="preserve"> HYPERLINK \l "_Toc27357"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_Toc27357 \h </w:instrText>
          </w:r>
          <w:r>
            <w:fldChar w:fldCharType="separate"/>
          </w:r>
          <w:r>
            <w:t>23</w:t>
          </w:r>
          <w:r>
            <w:fldChar w:fldCharType="end"/>
          </w:r>
          <w:r>
            <w:fldChar w:fldCharType="end"/>
          </w:r>
        </w:p>
        <w:p>
          <w:pPr>
            <w:pStyle w:val="16"/>
            <w:tabs>
              <w:tab w:val="right" w:leader="dot" w:pos="8306"/>
            </w:tabs>
          </w:pPr>
          <w:r>
            <w:fldChar w:fldCharType="begin"/>
          </w:r>
          <w:r>
            <w:instrText xml:space="preserve"> HYPERLINK \l "_Toc10162"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_Toc10162 \h </w:instrText>
          </w:r>
          <w:r>
            <w:fldChar w:fldCharType="separate"/>
          </w:r>
          <w:r>
            <w:t>24</w:t>
          </w:r>
          <w:r>
            <w:fldChar w:fldCharType="end"/>
          </w:r>
          <w:r>
            <w:fldChar w:fldCharType="end"/>
          </w:r>
        </w:p>
        <w:p>
          <w:pPr>
            <w:pStyle w:val="16"/>
            <w:tabs>
              <w:tab w:val="right" w:leader="dot" w:pos="8306"/>
            </w:tabs>
          </w:pPr>
          <w:r>
            <w:fldChar w:fldCharType="begin"/>
          </w:r>
          <w:r>
            <w:instrText xml:space="preserve"> HYPERLINK \l "_Toc3138"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_Toc3138 \h </w:instrText>
          </w:r>
          <w:r>
            <w:fldChar w:fldCharType="separate"/>
          </w:r>
          <w:r>
            <w:t>28</w:t>
          </w:r>
          <w:r>
            <w:fldChar w:fldCharType="end"/>
          </w:r>
          <w:r>
            <w:fldChar w:fldCharType="end"/>
          </w:r>
        </w:p>
        <w:p>
          <w:pPr>
            <w:pStyle w:val="16"/>
            <w:tabs>
              <w:tab w:val="right" w:leader="dot" w:pos="8306"/>
            </w:tabs>
          </w:pPr>
          <w:r>
            <w:fldChar w:fldCharType="begin"/>
          </w:r>
          <w:r>
            <w:instrText xml:space="preserve"> HYPERLINK \l "_Toc17110"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_Toc17110 \h </w:instrText>
          </w:r>
          <w:r>
            <w:fldChar w:fldCharType="separate"/>
          </w:r>
          <w:r>
            <w:t>29</w:t>
          </w:r>
          <w:r>
            <w:fldChar w:fldCharType="end"/>
          </w:r>
          <w:r>
            <w:fldChar w:fldCharType="end"/>
          </w:r>
        </w:p>
        <w:p>
          <w:pPr>
            <w:pStyle w:val="16"/>
            <w:tabs>
              <w:tab w:val="right" w:leader="dot" w:pos="8306"/>
            </w:tabs>
          </w:pPr>
          <w:r>
            <w:fldChar w:fldCharType="begin"/>
          </w:r>
          <w:r>
            <w:instrText xml:space="preserve"> HYPERLINK \l "_Toc4606"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_Toc4606 \h </w:instrText>
          </w:r>
          <w:r>
            <w:fldChar w:fldCharType="separate"/>
          </w:r>
          <w:r>
            <w:t>32</w:t>
          </w:r>
          <w:r>
            <w:fldChar w:fldCharType="end"/>
          </w:r>
          <w:r>
            <w:fldChar w:fldCharType="end"/>
          </w:r>
        </w:p>
        <w:p>
          <w:pPr>
            <w:pStyle w:val="16"/>
            <w:tabs>
              <w:tab w:val="right" w:leader="dot" w:pos="8306"/>
            </w:tabs>
          </w:pPr>
          <w:r>
            <w:fldChar w:fldCharType="begin"/>
          </w:r>
          <w:r>
            <w:instrText xml:space="preserve"> HYPERLINK \l "_Toc11469"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_Toc11469 \h </w:instrText>
          </w:r>
          <w:r>
            <w:fldChar w:fldCharType="separate"/>
          </w:r>
          <w:r>
            <w:t>34</w:t>
          </w:r>
          <w:r>
            <w:fldChar w:fldCharType="end"/>
          </w:r>
          <w:r>
            <w:fldChar w:fldCharType="end"/>
          </w:r>
        </w:p>
        <w:p>
          <w:pPr>
            <w:pStyle w:val="16"/>
            <w:tabs>
              <w:tab w:val="right" w:leader="dot" w:pos="8306"/>
            </w:tabs>
          </w:pPr>
          <w:r>
            <w:fldChar w:fldCharType="begin"/>
          </w:r>
          <w:r>
            <w:instrText xml:space="preserve"> HYPERLINK \l "_Toc24766"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_Toc24766 \h </w:instrText>
          </w:r>
          <w:r>
            <w:fldChar w:fldCharType="separate"/>
          </w:r>
          <w:r>
            <w:t>37</w:t>
          </w:r>
          <w:r>
            <w:fldChar w:fldCharType="end"/>
          </w:r>
          <w:r>
            <w:fldChar w:fldCharType="end"/>
          </w:r>
        </w:p>
        <w:p>
          <w:pPr>
            <w:spacing w:line="360" w:lineRule="auto"/>
          </w:pPr>
          <w:r>
            <w:fldChar w:fldCharType="end"/>
          </w:r>
        </w:p>
      </w:sdtContent>
    </w:sdt>
    <w:p>
      <w:pPr>
        <w:widowControl/>
        <w:spacing w:line="360" w:lineRule="auto"/>
        <w:jc w:val="left"/>
        <w:rPr>
          <w:rFonts w:ascii="Times New Roman"/>
          <w:sz w:val="30"/>
        </w:rPr>
      </w:pPr>
    </w:p>
    <w:p>
      <w:pPr>
        <w:widowControl/>
        <w:spacing w:line="360" w:lineRule="auto"/>
        <w:jc w:val="left"/>
        <w:rPr>
          <w:rFonts w:ascii="Times New Roman"/>
          <w:sz w:val="30"/>
        </w:rPr>
        <w:sectPr>
          <w:footerReference r:id="rId6" w:type="default"/>
          <w:pgSz w:w="11906" w:h="16838"/>
          <w:pgMar w:top="1276" w:right="1800" w:bottom="1418" w:left="1800" w:header="567" w:footer="850" w:gutter="0"/>
          <w:cols w:space="425" w:num="1"/>
          <w:docGrid w:type="lines" w:linePitch="312" w:charSpace="0"/>
        </w:sectPr>
      </w:pPr>
    </w:p>
    <w:p>
      <w:pPr>
        <w:pStyle w:val="2"/>
        <w:spacing w:before="0" w:after="0" w:line="360" w:lineRule="auto"/>
        <w:jc w:val="center"/>
        <w:rPr>
          <w:rFonts w:ascii="Times New Roman"/>
          <w:sz w:val="30"/>
        </w:rPr>
      </w:pPr>
      <w:bookmarkStart w:id="1" w:name="_Toc92377130"/>
      <w:bookmarkStart w:id="2" w:name="_Toc9482"/>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（一）在本产品投资协议书中，除非上下文另有明确约定，下列用词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2）提供单只或多只理财产品投资建议；3）为投资者办理理财产品认购、申购和赎回；4）银保监会认定的其他业务活动。各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《投资协议书》：指管理人统一编制的《兴银理财天天万利宝稳利净值型理财产品投资协议书》，以及对该文件的有效修改或补充。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）《产品说明书》：指管理人统一编制的《兴银理财天天万利宝稳利净值型理财产品产品说明书》，以及对该文件的有效修改或补充。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（4）《（代理）销售协议书》：指管理人统一编制的《【兴银理财天天万利宝稳利净值型理财产品（代理）销售协议书》或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）《风险揭示书》：指管理人统一编制的《兴银理财天天万利宝稳利净值型理财产品风险揭示书》或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）《投资者权益须知》：指管理人统一编制的《兴银理财天天万利宝稳利净值型理财产品投资者权益须知》或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《兴银理财天天万利宝稳利净值型理财产品投资者权益须知》（文件名称以代理销售机构实际编制为准），以及对该文件的有效修改或补充。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）适合投资者：指适合购买本产品的投资者类型。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11</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指管理人基于过往投资经验及对产品存续期投资市场波动的预判而对本产品所设定的投资目标。</w:t>
      </w:r>
      <w:r>
        <w:rPr>
          <w:rFonts w:hint="eastAsia" w:ascii="黑体" w:hAnsi="黑体" w:eastAsia="黑体"/>
          <w:bCs/>
          <w:color w:val="auto"/>
          <w:sz w:val="18"/>
          <w:szCs w:val="18"/>
        </w:rPr>
        <w:t>业绩比较基准不代表理财产品未来表现，不等于理财产品实际收益，不作为产品收益的业绩保证，投资须谨慎。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指管理人收取超额业绩报酬的参照相关</w:t>
      </w:r>
      <w:r>
        <w:rPr>
          <w:rFonts w:asciiTheme="majorEastAsia" w:hAnsiTheme="majorEastAsia" w:eastAsiaTheme="majorEastAsia"/>
          <w:bCs/>
          <w:color w:val="auto"/>
          <w:sz w:val="18"/>
          <w:szCs w:val="18"/>
        </w:rPr>
        <w:t>数值标准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业绩报酬计提基准不代表理财产品未来表现，不等于理财产品实际收益，不作为产品收益的业绩保证，投资须谨慎。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w:t>
      </w:r>
      <w:r>
        <w:rPr>
          <w:rFonts w:hint="eastAsia" w:ascii="黑体" w:hAnsi="黑体" w:eastAsia="黑体" w:cs="仿宋_GB2312"/>
          <w:bCs/>
          <w:color w:val="auto"/>
          <w:sz w:val="18"/>
          <w:szCs w:val="18"/>
        </w:rPr>
        <w:t>★</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）认购：指投资者根据本协议约定在认购期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募集期内申请购买本产品理财产品份额的行为。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指投资者在一段特定期间内通过预约的方式提交申购申请，该申请在申购日内自动转化为正式的申购申请。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指投资者在一段特定期间内通过预约的方式提交赎回申请，该申请在赎回日内自动转化为正式的赎回申请。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下同）之和达到赎回日上一日产品总份额的约定的百分比，为巨额赎回。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）★最短持有期:指自产品成立日/申购确认日起，投资者持有的产品份额被锁定持有的最短期间。在最短持有期内，投资者不能赎回该产品份额，最短持有期满后，投资者可以赎回该产品份额。</w:t>
      </w:r>
    </w:p>
    <w:p>
      <w:pPr>
        <w:pStyle w:val="34"/>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15）</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3" w:name="_Toc23998"/>
      <w:bookmarkStart w:id="4" w:name="_Toc92377131"/>
      <w:bookmarkStart w:id="5" w:name="_Toc79154665"/>
      <w:r>
        <w:rPr>
          <w:rFonts w:hint="eastAsia" w:hAnsi="宋体"/>
          <w:sz w:val="28"/>
          <w:szCs w:val="28"/>
        </w:rPr>
        <w:t>第二条  理财产品基本情况</w:t>
      </w:r>
      <w:bookmarkEnd w:id="3"/>
      <w:bookmarkEnd w:id="4"/>
      <w:bookmarkEnd w:id="5"/>
      <w:r>
        <w:rPr>
          <w:rFonts w:hint="eastAsia" w:hAnsi="宋体"/>
          <w:sz w:val="28"/>
          <w:szCs w:val="28"/>
        </w:rPr>
        <w:t xml:space="preserve"> </w:t>
      </w:r>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bookmarkStart w:id="170" w:name="_GoBack"/>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兴业银行天天万利宝稳利6号J款净值型理财产品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【稳利恒盈6号</w:t>
            </w:r>
            <w:r>
              <w:rPr>
                <w:rFonts w:ascii="宋体" w:hAnsi="宋体"/>
                <w:bCs/>
                <w:sz w:val="18"/>
                <w:szCs w:val="18"/>
              </w:rPr>
              <w:t>J</w:t>
            </w:r>
            <w:r>
              <w:rPr>
                <w:rFonts w:hint="eastAsia" w:ascii="宋体" w:hAnsi="宋体"/>
                <w:bCs/>
                <w:sz w:val="18"/>
                <w:szCs w:val="18"/>
              </w:rPr>
              <w:t>款 9个月A】（适用A类份额）</w:t>
            </w:r>
          </w:p>
          <w:p>
            <w:pPr>
              <w:spacing w:line="360" w:lineRule="auto"/>
              <w:jc w:val="left"/>
              <w:rPr>
                <w:rFonts w:ascii="宋体" w:hAnsi="宋体"/>
                <w:bCs/>
                <w:sz w:val="18"/>
                <w:szCs w:val="18"/>
              </w:rPr>
            </w:pPr>
            <w:r>
              <w:rPr>
                <w:rFonts w:hint="eastAsia" w:ascii="宋体" w:hAnsi="宋体"/>
                <w:bCs/>
                <w:sz w:val="18"/>
                <w:szCs w:val="18"/>
              </w:rPr>
              <w:t>【稳利恒盈6号</w:t>
            </w:r>
            <w:r>
              <w:rPr>
                <w:rFonts w:ascii="宋体" w:hAnsi="宋体"/>
                <w:bCs/>
                <w:sz w:val="18"/>
                <w:szCs w:val="18"/>
              </w:rPr>
              <w:t>J</w:t>
            </w:r>
            <w:r>
              <w:rPr>
                <w:rFonts w:hint="eastAsia" w:ascii="宋体" w:hAnsi="宋体"/>
                <w:bCs/>
                <w:sz w:val="18"/>
                <w:szCs w:val="18"/>
              </w:rPr>
              <w:t>款 9个月</w:t>
            </w:r>
            <w:r>
              <w:rPr>
                <w:rFonts w:ascii="宋体" w:hAnsi="宋体"/>
                <w:bCs/>
                <w:sz w:val="18"/>
                <w:szCs w:val="18"/>
              </w:rPr>
              <w:t>B</w:t>
            </w:r>
            <w:r>
              <w:rPr>
                <w:rFonts w:hint="eastAsia" w:ascii="宋体" w:hAnsi="宋体"/>
                <w:bCs/>
                <w:sz w:val="18"/>
                <w:szCs w:val="18"/>
              </w:rPr>
              <w:t>】（适用</w:t>
            </w:r>
            <w:r>
              <w:rPr>
                <w:rFonts w:ascii="宋体" w:hAnsi="宋体"/>
                <w:bCs/>
                <w:sz w:val="18"/>
                <w:szCs w:val="18"/>
              </w:rPr>
              <w:t>B</w:t>
            </w:r>
            <w:r>
              <w:rPr>
                <w:rFonts w:hint="eastAsia" w:ascii="宋体" w:hAnsi="宋体"/>
                <w:bCs/>
                <w:sz w:val="18"/>
                <w:szCs w:val="18"/>
              </w:rPr>
              <w:t>类份额）</w:t>
            </w:r>
          </w:p>
          <w:p>
            <w:pPr>
              <w:spacing w:line="360" w:lineRule="auto"/>
              <w:jc w:val="left"/>
              <w:rPr>
                <w:rFonts w:asciiTheme="minorEastAsia" w:hAnsiTheme="minorEastAsia" w:eastAsiaTheme="minorEastAsia" w:cstheme="minorEastAsia"/>
                <w:kern w:val="0"/>
                <w:sz w:val="22"/>
              </w:rPr>
            </w:pPr>
            <w:r>
              <w:rPr>
                <w:rFonts w:hint="eastAsia" w:ascii="宋体" w:hAnsi="宋体"/>
                <w:b/>
                <w:bCs/>
                <w:sz w:val="18"/>
                <w:szCs w:val="18"/>
              </w:rPr>
              <w:t>【</w:t>
            </w:r>
            <w:r>
              <w:rPr>
                <w:rFonts w:hint="eastAsia" w:ascii="宋体" w:hAnsi="宋体"/>
                <w:bCs/>
                <w:sz w:val="18"/>
                <w:szCs w:val="18"/>
              </w:rPr>
              <w:t>稳利恒盈6号</w:t>
            </w:r>
            <w:r>
              <w:rPr>
                <w:rFonts w:ascii="宋体" w:hAnsi="宋体"/>
                <w:bCs/>
                <w:sz w:val="18"/>
                <w:szCs w:val="18"/>
              </w:rPr>
              <w:t>J</w:t>
            </w:r>
            <w:r>
              <w:rPr>
                <w:rFonts w:hint="eastAsia" w:ascii="宋体" w:hAnsi="宋体"/>
                <w:bCs/>
                <w:sz w:val="18"/>
                <w:szCs w:val="18"/>
              </w:rPr>
              <w:t>款 9个月</w:t>
            </w:r>
            <w:r>
              <w:rPr>
                <w:rFonts w:ascii="宋体" w:hAnsi="宋体"/>
                <w:bCs/>
                <w:sz w:val="18"/>
                <w:szCs w:val="18"/>
              </w:rPr>
              <w:t>C</w:t>
            </w:r>
            <w:r>
              <w:rPr>
                <w:rFonts w:hint="eastAsia" w:ascii="宋体" w:hAnsi="宋体"/>
                <w:bCs/>
                <w:sz w:val="18"/>
                <w:szCs w:val="18"/>
              </w:rPr>
              <w:t>】（适用</w:t>
            </w:r>
            <w:r>
              <w:rPr>
                <w:rFonts w:ascii="宋体" w:hAnsi="宋体"/>
                <w:bCs/>
                <w:sz w:val="18"/>
                <w:szCs w:val="18"/>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Theme="minorEastAsia" w:hAnsiTheme="minorEastAsia" w:eastAsiaTheme="minorEastAsia" w:cstheme="minorEastAsia"/>
                <w:b/>
                <w:sz w:val="18"/>
                <w:szCs w:val="18"/>
              </w:rPr>
            </w:pPr>
            <w:r>
              <w:rPr>
                <w:rFonts w:hint="eastAsia" w:ascii="宋体" w:hAnsi="宋体"/>
                <w:bCs/>
                <w:sz w:val="18"/>
                <w:szCs w:val="18"/>
              </w:rPr>
              <w:t>【</w:t>
            </w:r>
            <w:r>
              <w:rPr>
                <w:rFonts w:ascii="宋体" w:hAnsi="宋体"/>
                <w:bCs/>
                <w:sz w:val="18"/>
                <w:szCs w:val="18"/>
              </w:rPr>
              <w:t>Z7002021000098</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Theme="minorEastAsia" w:hAnsiTheme="minorEastAsia" w:eastAsiaTheme="minorEastAsia" w:cstheme="minorEastAsia"/>
                <w:bCs/>
                <w:sz w:val="18"/>
                <w:szCs w:val="18"/>
              </w:rPr>
            </w:pPr>
            <w:r>
              <w:rPr>
                <w:rFonts w:ascii="宋体" w:hAnsi="宋体"/>
                <w:bCs/>
                <w:color w:val="000000" w:themeColor="text1"/>
                <w:sz w:val="18"/>
                <w:szCs w:val="18"/>
              </w:rPr>
              <w:t>【9K209140】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60" w:lineRule="auto"/>
              <w:jc w:val="left"/>
              <w:rPr>
                <w:rFonts w:ascii="宋体" w:hAnsi="宋体"/>
                <w:bCs/>
                <w:color w:val="000000" w:themeColor="text1"/>
                <w:sz w:val="18"/>
                <w:szCs w:val="18"/>
              </w:rPr>
            </w:pPr>
            <w:r>
              <w:rPr>
                <w:rFonts w:hint="eastAsia" w:ascii="宋体" w:hAnsi="宋体"/>
                <w:bCs/>
                <w:color w:val="000000" w:themeColor="text1"/>
                <w:sz w:val="18"/>
                <w:szCs w:val="18"/>
              </w:rPr>
              <w:t>【9K2091</w:t>
            </w:r>
            <w:r>
              <w:rPr>
                <w:rFonts w:ascii="宋体" w:hAnsi="宋体"/>
                <w:bCs/>
                <w:color w:val="000000" w:themeColor="text1"/>
                <w:sz w:val="18"/>
                <w:szCs w:val="18"/>
              </w:rPr>
              <w:t>4</w:t>
            </w:r>
            <w:r>
              <w:rPr>
                <w:rFonts w:hint="eastAsia" w:ascii="宋体" w:hAnsi="宋体"/>
                <w:bCs/>
                <w:color w:val="000000" w:themeColor="text1"/>
                <w:sz w:val="18"/>
                <w:szCs w:val="18"/>
              </w:rPr>
              <w:t>A】（适用A类份额）</w:t>
            </w:r>
          </w:p>
          <w:p>
            <w:pPr>
              <w:spacing w:line="360" w:lineRule="auto"/>
              <w:jc w:val="left"/>
              <w:rPr>
                <w:rFonts w:ascii="宋体" w:hAnsi="宋体"/>
                <w:bCs/>
                <w:color w:val="000000" w:themeColor="text1"/>
                <w:sz w:val="18"/>
                <w:szCs w:val="18"/>
              </w:rPr>
            </w:pPr>
            <w:r>
              <w:rPr>
                <w:rFonts w:hint="eastAsia" w:ascii="宋体" w:hAnsi="宋体"/>
                <w:bCs/>
                <w:color w:val="000000" w:themeColor="text1"/>
                <w:sz w:val="18"/>
                <w:szCs w:val="18"/>
              </w:rPr>
              <w:t>【9K2091</w:t>
            </w:r>
            <w:r>
              <w:rPr>
                <w:rFonts w:ascii="宋体" w:hAnsi="宋体"/>
                <w:bCs/>
                <w:color w:val="000000" w:themeColor="text1"/>
                <w:sz w:val="18"/>
                <w:szCs w:val="18"/>
              </w:rPr>
              <w:t>4</w:t>
            </w:r>
            <w:r>
              <w:rPr>
                <w:rFonts w:hint="eastAsia" w:ascii="宋体" w:hAnsi="宋体"/>
                <w:bCs/>
                <w:color w:val="000000" w:themeColor="text1"/>
                <w:sz w:val="18"/>
                <w:szCs w:val="18"/>
              </w:rPr>
              <w:t>B】（适用B类份额）</w:t>
            </w:r>
          </w:p>
          <w:p>
            <w:pPr>
              <w:spacing w:line="360" w:lineRule="auto"/>
              <w:jc w:val="left"/>
              <w:rPr>
                <w:rFonts w:asciiTheme="minorEastAsia" w:hAnsiTheme="minorEastAsia" w:eastAsiaTheme="minorEastAsia" w:cstheme="minorEastAsia"/>
                <w:sz w:val="18"/>
                <w:szCs w:val="18"/>
              </w:rPr>
            </w:pPr>
            <w:r>
              <w:rPr>
                <w:rFonts w:hint="eastAsia" w:ascii="宋体" w:hAnsi="宋体"/>
                <w:bCs/>
                <w:color w:val="000000" w:themeColor="text1"/>
                <w:sz w:val="18"/>
                <w:szCs w:val="18"/>
              </w:rPr>
              <w:t>【9K2091</w:t>
            </w:r>
            <w:r>
              <w:rPr>
                <w:rFonts w:ascii="宋体" w:hAnsi="宋体"/>
                <w:bCs/>
                <w:color w:val="000000" w:themeColor="text1"/>
                <w:sz w:val="18"/>
                <w:szCs w:val="18"/>
              </w:rPr>
              <w:t>4</w:t>
            </w:r>
            <w:r>
              <w:rPr>
                <w:rFonts w:hint="eastAsia" w:ascii="宋体" w:hAnsi="宋体"/>
                <w:bCs/>
                <w:color w:val="000000" w:themeColor="text1"/>
                <w:sz w:val="18"/>
                <w:szCs w:val="18"/>
              </w:rPr>
              <w:t>C】（适用C类份额）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.本产品设置不同的理财产品份额，每类理财产品份额以下内容将单独设置：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Cs/>
                <w:sz w:val="18"/>
                <w:szCs w:val="18"/>
              </w:rPr>
            </w:pPr>
            <w:r>
              <w:rPr>
                <w:rFonts w:hint="eastAsia" w:ascii="黑体" w:hAnsi="黑体" w:eastAsia="黑体"/>
                <w:bCs/>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、开放式、【固定收益类】、非保本浮动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276" w:lineRule="auto"/>
              <w:rPr>
                <w:rFonts w:asciiTheme="majorEastAsia" w:hAnsiTheme="majorEastAsia" w:eastAsiaTheme="majorEastAsia"/>
                <w:b/>
                <w:color w:val="000000" w:themeColor="text1"/>
                <w:sz w:val="18"/>
                <w:szCs w:val="18"/>
              </w:rPr>
            </w:pPr>
            <w:r>
              <w:rPr>
                <w:rFonts w:hint="eastAsia" w:asciiTheme="majorEastAsia" w:hAnsiTheme="majorEastAsia" w:eastAsiaTheme="majorEastAsia"/>
                <w:b/>
                <w:color w:val="000000" w:themeColor="text1"/>
                <w:sz w:val="18"/>
                <w:szCs w:val="18"/>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Cs/>
                <w:sz w:val="18"/>
                <w:szCs w:val="18"/>
              </w:rPr>
            </w:pPr>
            <w:r>
              <w:rPr>
                <w:rFonts w:hint="eastAsia" w:ascii="黑体" w:hAnsi="黑体" w:eastAsia="黑体"/>
                <w:sz w:val="18"/>
                <w:szCs w:val="18"/>
              </w:rPr>
              <w:t>注</w:t>
            </w:r>
            <w:r>
              <w:rPr>
                <w:rFonts w:ascii="黑体" w:hAnsi="黑体" w:eastAsia="黑体"/>
                <w:sz w:val="18"/>
                <w:szCs w:val="18"/>
              </w:rPr>
              <w:t>：</w:t>
            </w:r>
            <w:r>
              <w:rPr>
                <w:rFonts w:hint="eastAsia" w:ascii="黑体" w:hAnsi="黑体" w:eastAsia="黑体"/>
                <w:sz w:val="18"/>
                <w:szCs w:val="18"/>
              </w:rPr>
              <w:t>若本</w:t>
            </w:r>
            <w:r>
              <w:rPr>
                <w:rFonts w:ascii="黑体" w:hAnsi="黑体" w:eastAsia="黑体"/>
                <w:sz w:val="18"/>
                <w:szCs w:val="18"/>
              </w:rPr>
              <w:t>产品通过代理销售机构销售的，</w:t>
            </w:r>
            <w:r>
              <w:rPr>
                <w:rFonts w:hint="eastAsia" w:ascii="黑体" w:hAnsi="黑体" w:eastAsia="黑体"/>
                <w:sz w:val="18"/>
                <w:szCs w:val="18"/>
              </w:rPr>
              <w:t>理财产品</w:t>
            </w:r>
            <w:r>
              <w:rPr>
                <w:rFonts w:ascii="黑体" w:hAnsi="黑体" w:eastAsia="黑体"/>
                <w:sz w:val="18"/>
                <w:szCs w:val="18"/>
              </w:rPr>
              <w:t>评级</w:t>
            </w:r>
            <w:r>
              <w:rPr>
                <w:rFonts w:hint="eastAsia" w:ascii="黑体" w:hAnsi="黑体" w:eastAsia="黑体"/>
                <w:sz w:val="18"/>
                <w:szCs w:val="18"/>
              </w:rPr>
              <w:t>以</w:t>
            </w:r>
            <w:r>
              <w:rPr>
                <w:rFonts w:ascii="黑体" w:hAnsi="黑体" w:eastAsia="黑体"/>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本产品</w:t>
            </w:r>
            <w:r>
              <w:rPr>
                <w:rFonts w:asciiTheme="majorEastAsia" w:hAnsiTheme="majorEastAsia" w:eastAsiaTheme="majorEastAsia"/>
                <w:bCs/>
                <w:color w:val="000000" w:themeColor="text1"/>
                <w:sz w:val="18"/>
                <w:szCs w:val="18"/>
              </w:rPr>
              <w:t>适合以下类型投资者：</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 xml:space="preserve">客户 </w:t>
            </w:r>
            <w:r>
              <w:rPr>
                <w:rFonts w:asciiTheme="majorEastAsia" w:hAnsiTheme="majorEastAsia" w:eastAsiaTheme="majorEastAsia"/>
                <w:bCs/>
                <w:color w:val="000000" w:themeColor="text1"/>
                <w:sz w:val="18"/>
                <w:szCs w:val="18"/>
              </w:rPr>
              <w:t xml:space="preserve">  </w:t>
            </w:r>
            <w:r>
              <w:rPr>
                <w:rFonts w:hint="eastAsia" w:asciiTheme="majorEastAsia" w:hAnsiTheme="majorEastAsia" w:eastAsiaTheme="majorEastAsia"/>
                <w:bCs/>
                <w:color w:val="000000" w:themeColor="text1"/>
                <w:sz w:val="18"/>
                <w:szCs w:val="18"/>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Cs/>
                <w:color w:val="000000" w:themeColor="text1"/>
                <w:sz w:val="18"/>
                <w:szCs w:val="18"/>
              </w:rPr>
            </w:pPr>
            <w:r>
              <w:rPr>
                <w:rFonts w:hint="eastAsia" w:ascii="黑体" w:hAnsi="黑体" w:eastAsia="黑体"/>
                <w:bCs/>
                <w:sz w:val="18"/>
                <w:szCs w:val="18"/>
              </w:rPr>
              <w:t>特别提示：当销售机构销售产品风险评级为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50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cs="仿宋_GB2312" w:asciiTheme="majorEastAsia" w:hAnsiTheme="majorEastAsia" w:eastAsiaTheme="majorEastAsia"/>
                <w:kern w:val="0"/>
                <w:sz w:val="18"/>
                <w:szCs w:val="18"/>
              </w:rPr>
              <w:t>无固定期限</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：【2021】年【</w:t>
            </w:r>
            <w:r>
              <w:rPr>
                <w:rFonts w:asciiTheme="minorEastAsia" w:hAnsiTheme="minorEastAsia"/>
                <w:bCs/>
                <w:sz w:val="18"/>
                <w:szCs w:val="18"/>
              </w:rPr>
              <w:t>4</w:t>
            </w:r>
            <w:r>
              <w:rPr>
                <w:rFonts w:hint="eastAsia" w:asciiTheme="minorEastAsia" w:hAnsiTheme="minorEastAsia"/>
                <w:bCs/>
                <w:sz w:val="18"/>
                <w:szCs w:val="18"/>
              </w:rPr>
              <w:t>】月【</w:t>
            </w:r>
            <w:r>
              <w:rPr>
                <w:rFonts w:asciiTheme="minorEastAsia" w:hAnsiTheme="minorEastAsia"/>
                <w:bCs/>
                <w:sz w:val="18"/>
                <w:szCs w:val="18"/>
              </w:rPr>
              <w:t>15</w:t>
            </w:r>
            <w:r>
              <w:rPr>
                <w:rFonts w:hint="eastAsia" w:asciiTheme="minorEastAsia" w:hAnsiTheme="minorEastAsia"/>
                <w:bCs/>
                <w:sz w:val="18"/>
                <w:szCs w:val="18"/>
              </w:rPr>
              <w:t>】日11:00至【2021】年【</w:t>
            </w:r>
            <w:r>
              <w:rPr>
                <w:rFonts w:asciiTheme="minorEastAsia" w:hAnsiTheme="minorEastAsia"/>
                <w:bCs/>
                <w:sz w:val="18"/>
                <w:szCs w:val="18"/>
              </w:rPr>
              <w:t>4</w:t>
            </w:r>
            <w:r>
              <w:rPr>
                <w:rFonts w:hint="eastAsia" w:asciiTheme="minorEastAsia" w:hAnsiTheme="minorEastAsia"/>
                <w:bCs/>
                <w:sz w:val="18"/>
                <w:szCs w:val="18"/>
              </w:rPr>
              <w:t>】月【</w:t>
            </w:r>
            <w:r>
              <w:rPr>
                <w:rFonts w:asciiTheme="minorEastAsia" w:hAnsiTheme="minorEastAsia"/>
                <w:bCs/>
                <w:sz w:val="18"/>
                <w:szCs w:val="18"/>
              </w:rPr>
              <w:t>21</w:t>
            </w:r>
            <w:r>
              <w:rPr>
                <w:rFonts w:hint="eastAsia" w:asciiTheme="minorEastAsia" w:hAnsiTheme="minorEastAsia"/>
                <w:bCs/>
                <w:sz w:val="18"/>
                <w:szCs w:val="18"/>
              </w:rPr>
              <w:t>】日15:45</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.认购期</w:t>
            </w:r>
            <w:r>
              <w:rPr>
                <w:rFonts w:asciiTheme="minorEastAsia" w:hAnsiTheme="minorEastAsia"/>
                <w:bCs/>
                <w:sz w:val="18"/>
                <w:szCs w:val="18"/>
              </w:rPr>
              <w:t>/</w:t>
            </w:r>
            <w:r>
              <w:rPr>
                <w:rFonts w:hint="eastAsia" w:ascii="宋体" w:hAnsi="宋体"/>
                <w:bCs/>
                <w:sz w:val="18"/>
                <w:szCs w:val="18"/>
              </w:rPr>
              <w:t>募集期内资金按照活期存款利息计息，认购期/募集期内的利息不计入认购资金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asciiTheme="minorEastAsia" w:hAnsiTheme="minorEastAsia"/>
                <w:bCs/>
                <w:sz w:val="18"/>
                <w:szCs w:val="18"/>
              </w:rPr>
              <w:t>【2021】年【</w:t>
            </w:r>
            <w:r>
              <w:rPr>
                <w:rFonts w:asciiTheme="minorEastAsia" w:hAnsiTheme="minorEastAsia"/>
                <w:bCs/>
                <w:sz w:val="18"/>
                <w:szCs w:val="18"/>
              </w:rPr>
              <w:t>4</w:t>
            </w:r>
            <w:r>
              <w:rPr>
                <w:rFonts w:hint="eastAsia" w:asciiTheme="minorEastAsia" w:hAnsiTheme="minorEastAsia"/>
                <w:bCs/>
                <w:sz w:val="18"/>
                <w:szCs w:val="18"/>
              </w:rPr>
              <w:t>】月【</w:t>
            </w:r>
            <w:r>
              <w:rPr>
                <w:rFonts w:asciiTheme="minorEastAsia" w:hAnsiTheme="minorEastAsia"/>
                <w:bCs/>
                <w:sz w:val="18"/>
                <w:szCs w:val="18"/>
              </w:rPr>
              <w:t>22</w:t>
            </w:r>
            <w:r>
              <w:rPr>
                <w:rFonts w:hint="eastAsia" w:asciiTheme="minorEastAsia" w:hAnsiTheme="minorEastAsia"/>
                <w:bCs/>
                <w:sz w:val="18"/>
                <w:szCs w:val="18"/>
              </w:rPr>
              <w:t>】日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rPr>
            </w:pPr>
            <w:r>
              <w:rPr>
                <w:rFonts w:asciiTheme="minorEastAsia" w:hAnsiTheme="minorEastAsia" w:eastAsiaTheme="minorEastAsia"/>
                <w:bCs/>
                <w:color w:val="000000" w:themeColor="text1"/>
                <w:sz w:val="18"/>
                <w:szCs w:val="18"/>
              </w:rPr>
              <w:t>1</w:t>
            </w:r>
            <w:r>
              <w:rPr>
                <w:rFonts w:asciiTheme="majorEastAsia" w:hAnsiTheme="majorEastAsia" w:eastAsiaTheme="majorEastAsia"/>
                <w:bCs/>
                <w:color w:val="000000" w:themeColor="text1"/>
                <w:sz w:val="18"/>
                <w:szCs w:val="18"/>
              </w:rPr>
              <w:t>.投资周期的设置</w:t>
            </w:r>
          </w:p>
          <w:p>
            <w:pPr>
              <w:spacing w:line="360" w:lineRule="auto"/>
              <w:rPr>
                <w:rFonts w:asciiTheme="minorEastAsia" w:hAnsiTheme="minorEastAsia" w:eastAsiaTheme="minorEastAsia"/>
                <w:bCs/>
                <w:color w:val="000000" w:themeColor="text1"/>
                <w:sz w:val="18"/>
                <w:szCs w:val="18"/>
              </w:rPr>
            </w:pPr>
            <w:r>
              <w:rPr>
                <w:rFonts w:hint="eastAsia" w:asciiTheme="majorEastAsia" w:hAnsiTheme="majorEastAsia" w:eastAsiaTheme="majorEastAsia"/>
                <w:bCs/>
                <w:color w:val="000000" w:themeColor="text1"/>
                <w:sz w:val="18"/>
                <w:szCs w:val="18"/>
              </w:rPr>
              <w:t>（</w:t>
            </w:r>
            <w:r>
              <w:rPr>
                <w:rFonts w:asciiTheme="majorEastAsia" w:hAnsiTheme="majorEastAsia" w:eastAsiaTheme="majorEastAsia"/>
                <w:bCs/>
                <w:color w:val="000000" w:themeColor="text1"/>
                <w:sz w:val="18"/>
                <w:szCs w:val="18"/>
              </w:rPr>
              <w:t>1）</w:t>
            </w:r>
            <w:r>
              <w:rPr>
                <w:rFonts w:hint="eastAsia" w:asciiTheme="majorEastAsia" w:hAnsiTheme="majorEastAsia" w:eastAsiaTheme="majorEastAsia"/>
                <w:bCs/>
                <w:color w:val="000000" w:themeColor="text1"/>
                <w:sz w:val="18"/>
                <w:szCs w:val="18"/>
              </w:rPr>
              <w:t>投资周期指</w:t>
            </w:r>
            <w:r>
              <w:rPr>
                <w:rFonts w:hint="eastAsia" w:asciiTheme="minorEastAsia" w:hAnsiTheme="minorEastAsia" w:eastAsiaTheme="minorEastAsia"/>
                <w:bCs/>
                <w:color w:val="000000" w:themeColor="text1"/>
                <w:sz w:val="18"/>
                <w:szCs w:val="18"/>
              </w:rPr>
              <w:t>投资者</w:t>
            </w:r>
            <w:r>
              <w:rPr>
                <w:rFonts w:asciiTheme="minorEastAsia" w:hAnsiTheme="minorEastAsia" w:eastAsiaTheme="minorEastAsia"/>
                <w:bCs/>
                <w:color w:val="000000" w:themeColor="text1"/>
                <w:sz w:val="18"/>
                <w:szCs w:val="18"/>
              </w:rPr>
              <w:t>持有理财产品份额</w:t>
            </w:r>
            <w:r>
              <w:rPr>
                <w:rFonts w:hint="eastAsia" w:asciiTheme="minorEastAsia" w:hAnsiTheme="minorEastAsia" w:eastAsiaTheme="minorEastAsia"/>
                <w:bCs/>
                <w:color w:val="000000" w:themeColor="text1"/>
                <w:sz w:val="18"/>
                <w:szCs w:val="18"/>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rPr>
            </w:pPr>
            <w:r>
              <w:rPr>
                <w:rFonts w:hint="eastAsia" w:asciiTheme="majorEastAsia" w:hAnsiTheme="majorEastAsia" w:eastAsiaTheme="majorEastAsia"/>
                <w:bCs/>
                <w:color w:val="000000" w:themeColor="text1"/>
                <w:sz w:val="18"/>
                <w:szCs w:val="18"/>
              </w:rPr>
              <w:t>（2）每一个投资周期：包含</w:t>
            </w:r>
            <w:r>
              <w:rPr>
                <w:rFonts w:hint="eastAsia" w:cs="仿宋_GB2312" w:asciiTheme="majorEastAsia" w:hAnsiTheme="majorEastAsia" w:eastAsiaTheme="majorEastAsia"/>
                <w:color w:val="000000" w:themeColor="text1"/>
                <w:kern w:val="0"/>
                <w:sz w:val="18"/>
                <w:szCs w:val="18"/>
              </w:rPr>
              <w:t>该</w:t>
            </w:r>
            <w:r>
              <w:rPr>
                <w:rFonts w:hint="eastAsia" w:asciiTheme="majorEastAsia" w:hAnsiTheme="majorEastAsia" w:eastAsiaTheme="majorEastAsia"/>
                <w:bCs/>
                <w:color w:val="000000" w:themeColor="text1"/>
                <w:sz w:val="18"/>
                <w:szCs w:val="18"/>
              </w:rPr>
              <w:t>投资者对应产品份额的认购确认日</w:t>
            </w:r>
            <w:r>
              <w:rPr>
                <w:rFonts w:asciiTheme="majorEastAsia" w:hAnsiTheme="majorEastAsia" w:eastAsiaTheme="majorEastAsia"/>
                <w:bCs/>
                <w:color w:val="000000" w:themeColor="text1"/>
                <w:sz w:val="18"/>
                <w:szCs w:val="18"/>
              </w:rPr>
              <w:t>/申购确认日</w:t>
            </w:r>
            <w:r>
              <w:rPr>
                <w:rFonts w:hint="eastAsia" w:cs="仿宋_GB2312" w:asciiTheme="majorEastAsia" w:hAnsiTheme="majorEastAsia" w:eastAsiaTheme="majorEastAsia"/>
                <w:color w:val="000000" w:themeColor="text1"/>
                <w:kern w:val="0"/>
                <w:sz w:val="18"/>
                <w:szCs w:val="18"/>
              </w:rPr>
              <w:t>至该投资者对应产品份额的赎回确认日的期间。</w:t>
            </w:r>
          </w:p>
          <w:p>
            <w:pPr>
              <w:spacing w:line="360" w:lineRule="auto"/>
              <w:rPr>
                <w:rFonts w:asciiTheme="majorEastAsia" w:hAnsiTheme="majorEastAsia" w:eastAsiaTheme="majorEastAsia"/>
                <w:bCs/>
                <w:color w:val="000000" w:themeColor="text1"/>
                <w:sz w:val="18"/>
                <w:szCs w:val="18"/>
              </w:rPr>
            </w:pPr>
            <w:r>
              <w:rPr>
                <w:rFonts w:hint="eastAsia" w:asciiTheme="minorEastAsia" w:hAnsiTheme="minorEastAsia" w:eastAsiaTheme="minorEastAsia"/>
                <w:bCs/>
                <w:color w:val="000000" w:themeColor="text1"/>
                <w:sz w:val="18"/>
                <w:szCs w:val="18"/>
              </w:rPr>
              <w:t>（3</w:t>
            </w:r>
            <w:r>
              <w:rPr>
                <w:rFonts w:asciiTheme="minorEastAsia" w:hAnsiTheme="minorEastAsia" w:eastAsiaTheme="minorEastAsia"/>
                <w:bCs/>
                <w:color w:val="000000" w:themeColor="text1"/>
                <w:sz w:val="18"/>
                <w:szCs w:val="18"/>
              </w:rPr>
              <w:t>）</w:t>
            </w:r>
            <w:r>
              <w:rPr>
                <w:rFonts w:hint="eastAsia" w:asciiTheme="majorEastAsia" w:hAnsiTheme="majorEastAsia" w:eastAsiaTheme="majorEastAsia"/>
                <w:bCs/>
                <w:color w:val="000000" w:themeColor="text1"/>
                <w:sz w:val="18"/>
                <w:szCs w:val="18"/>
              </w:rPr>
              <w:t>正常情况下，本产品的一个投资周期为【9个月】</w:t>
            </w: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color w:val="000000" w:themeColor="text1"/>
                <w:sz w:val="18"/>
                <w:szCs w:val="18"/>
              </w:rPr>
              <w:t>投资周期存在长于或短于【9个月】的可能，投资者具体投资周期以本产品说明书“申购</w:t>
            </w:r>
            <w:r>
              <w:rPr>
                <w:rFonts w:asciiTheme="majorEastAsia" w:hAnsiTheme="majorEastAsia" w:eastAsiaTheme="majorEastAsia"/>
                <w:bCs/>
                <w:color w:val="000000" w:themeColor="text1"/>
                <w:sz w:val="18"/>
                <w:szCs w:val="18"/>
              </w:rPr>
              <w:t>/赎回安排</w:t>
            </w:r>
            <w:r>
              <w:rPr>
                <w:rFonts w:hint="eastAsia" w:asciiTheme="majorEastAsia" w:hAnsiTheme="majorEastAsia" w:eastAsiaTheme="majorEastAsia"/>
                <w:bCs/>
                <w:color w:val="000000" w:themeColor="text1"/>
                <w:sz w:val="18"/>
                <w:szCs w:val="18"/>
              </w:rPr>
              <w:t>”所载明的天数为准。投资周期终止日如遇非工作日则产品管理人做相应调整。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2.投资周期的参与</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w:t>
            </w:r>
            <w:r>
              <w:rPr>
                <w:rFonts w:asciiTheme="majorEastAsia" w:hAnsiTheme="majorEastAsia" w:eastAsiaTheme="majorEastAsia"/>
                <w:bCs/>
                <w:color w:val="000000" w:themeColor="text1"/>
                <w:sz w:val="18"/>
                <w:szCs w:val="18"/>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rPr>
            </w:pPr>
            <w:r>
              <w:rPr>
                <w:rFonts w:hint="eastAsia" w:cs="仿宋_GB2312" w:asciiTheme="majorEastAsia" w:hAnsiTheme="majorEastAsia" w:eastAsiaTheme="majorEastAsia"/>
                <w:color w:val="000000" w:themeColor="text1"/>
                <w:kern w:val="0"/>
                <w:sz w:val="18"/>
                <w:szCs w:val="18"/>
              </w:rPr>
              <w:t>（</w:t>
            </w:r>
            <w:r>
              <w:rPr>
                <w:rFonts w:cs="仿宋_GB2312" w:asciiTheme="majorEastAsia" w:hAnsiTheme="majorEastAsia" w:eastAsiaTheme="majorEastAsia"/>
                <w:color w:val="000000" w:themeColor="text1"/>
                <w:kern w:val="0"/>
                <w:sz w:val="18"/>
                <w:szCs w:val="18"/>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rPr>
              <w:t>本产品</w:t>
            </w:r>
            <w:r>
              <w:rPr>
                <w:rFonts w:cs="仿宋_GB2312" w:asciiTheme="majorEastAsia" w:hAnsiTheme="majorEastAsia" w:eastAsiaTheme="majorEastAsia"/>
                <w:color w:val="000000" w:themeColor="text1"/>
                <w:kern w:val="0"/>
                <w:sz w:val="18"/>
                <w:szCs w:val="18"/>
              </w:rPr>
              <w:t>成立后管理人可根据募集情况设置预约申购期</w:t>
            </w:r>
            <w:r>
              <w:rPr>
                <w:rFonts w:hint="eastAsia" w:cs="仿宋_GB2312" w:asciiTheme="majorEastAsia" w:hAnsiTheme="majorEastAsia" w:eastAsiaTheme="majorEastAsia"/>
                <w:color w:val="000000" w:themeColor="text1"/>
                <w:kern w:val="0"/>
                <w:sz w:val="18"/>
                <w:szCs w:val="18"/>
              </w:rPr>
              <w:t>。</w:t>
            </w:r>
            <w:r>
              <w:rPr>
                <w:rFonts w:cs="仿宋_GB2312" w:asciiTheme="majorEastAsia" w:hAnsiTheme="majorEastAsia" w:eastAsiaTheme="majorEastAsia"/>
                <w:color w:val="000000" w:themeColor="text1"/>
                <w:kern w:val="0"/>
                <w:sz w:val="18"/>
                <w:szCs w:val="18"/>
              </w:rPr>
              <w:t>在理财产品运作一个完整的投资周期</w:t>
            </w:r>
            <w:r>
              <w:rPr>
                <w:rFonts w:hint="eastAsia" w:cs="仿宋_GB2312" w:asciiTheme="majorEastAsia" w:hAnsiTheme="majorEastAsia" w:eastAsiaTheme="majorEastAsia"/>
                <w:color w:val="000000" w:themeColor="text1"/>
                <w:kern w:val="0"/>
                <w:sz w:val="18"/>
                <w:szCs w:val="18"/>
              </w:rPr>
              <w:t>结束前后，</w:t>
            </w:r>
            <w:r>
              <w:rPr>
                <w:rFonts w:cs="仿宋_GB2312" w:asciiTheme="majorEastAsia" w:hAnsiTheme="majorEastAsia" w:eastAsiaTheme="majorEastAsia"/>
                <w:color w:val="000000" w:themeColor="text1"/>
                <w:kern w:val="0"/>
                <w:sz w:val="18"/>
                <w:szCs w:val="18"/>
              </w:rPr>
              <w:t>管理人可设置预约申购期</w:t>
            </w:r>
            <w:r>
              <w:rPr>
                <w:rFonts w:hint="eastAsia" w:cs="仿宋_GB2312" w:asciiTheme="majorEastAsia" w:hAnsiTheme="majorEastAsia" w:eastAsiaTheme="majorEastAsia"/>
                <w:color w:val="000000" w:themeColor="text1"/>
                <w:kern w:val="0"/>
                <w:sz w:val="18"/>
                <w:szCs w:val="18"/>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3.投资周期的退出</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（1）本产品成立后，投资者可通过预约赎回方式退出本产品的投资周期。在</w:t>
            </w:r>
            <w:r>
              <w:rPr>
                <w:rFonts w:asciiTheme="minorEastAsia" w:hAnsiTheme="minorEastAsia" w:eastAsiaTheme="minorEastAsia"/>
                <w:bCs/>
                <w:color w:val="000000" w:themeColor="text1"/>
                <w:sz w:val="18"/>
                <w:szCs w:val="18"/>
              </w:rPr>
              <w:t>投资者持有的理财产品份额</w:t>
            </w:r>
            <w:r>
              <w:rPr>
                <w:rFonts w:hint="eastAsia" w:asciiTheme="minorEastAsia" w:hAnsiTheme="minorEastAsia" w:eastAsiaTheme="minorEastAsia"/>
                <w:bCs/>
                <w:color w:val="000000" w:themeColor="text1"/>
                <w:sz w:val="18"/>
                <w:szCs w:val="18"/>
              </w:rPr>
              <w:t>在运作一个完整的投资周期结束前，投资者可在预约赎回期内</w:t>
            </w:r>
            <w:r>
              <w:rPr>
                <w:rFonts w:asciiTheme="minorEastAsia" w:hAnsiTheme="minorEastAsia" w:eastAsiaTheme="minorEastAsia"/>
                <w:bCs/>
                <w:color w:val="000000" w:themeColor="text1"/>
                <w:sz w:val="18"/>
                <w:szCs w:val="18"/>
              </w:rPr>
              <w:t>提出预约</w:t>
            </w:r>
            <w:r>
              <w:rPr>
                <w:rFonts w:hint="eastAsia" w:asciiTheme="minorEastAsia" w:hAnsiTheme="minorEastAsia" w:eastAsiaTheme="minorEastAsia"/>
                <w:bCs/>
                <w:color w:val="000000" w:themeColor="text1"/>
                <w:sz w:val="18"/>
                <w:szCs w:val="18"/>
              </w:rPr>
              <w:t>赎回申请，如未赎回将进入下一个投资周期继续运作。</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（2）在</w:t>
            </w:r>
            <w:r>
              <w:rPr>
                <w:rFonts w:asciiTheme="minorEastAsia" w:hAnsiTheme="minorEastAsia" w:eastAsiaTheme="minorEastAsia"/>
                <w:bCs/>
                <w:color w:val="000000" w:themeColor="text1"/>
                <w:sz w:val="18"/>
                <w:szCs w:val="18"/>
              </w:rPr>
              <w:t>投资者持有的理财产品份额</w:t>
            </w:r>
            <w:r>
              <w:rPr>
                <w:rFonts w:hint="eastAsia" w:asciiTheme="minorEastAsia" w:hAnsiTheme="minorEastAsia" w:eastAsiaTheme="minorEastAsia"/>
                <w:bCs/>
                <w:color w:val="000000" w:themeColor="text1"/>
                <w:sz w:val="18"/>
                <w:szCs w:val="18"/>
              </w:rPr>
              <w:t>在运作一个完整的投资周期后，投资者</w:t>
            </w:r>
            <w:r>
              <w:rPr>
                <w:rFonts w:asciiTheme="minorEastAsia" w:hAnsiTheme="minorEastAsia" w:eastAsiaTheme="minorEastAsia"/>
                <w:bCs/>
                <w:color w:val="000000" w:themeColor="text1"/>
                <w:sz w:val="18"/>
                <w:szCs w:val="18"/>
              </w:rPr>
              <w:t>也可以继续</w:t>
            </w:r>
            <w:r>
              <w:rPr>
                <w:rFonts w:hint="eastAsia" w:asciiTheme="minorEastAsia" w:hAnsiTheme="minorEastAsia" w:eastAsiaTheme="minorEastAsia"/>
                <w:bCs/>
                <w:color w:val="000000" w:themeColor="text1"/>
                <w:sz w:val="18"/>
                <w:szCs w:val="18"/>
              </w:rPr>
              <w:t>持有理财产品份额进入</w:t>
            </w:r>
            <w:r>
              <w:rPr>
                <w:rFonts w:asciiTheme="minorEastAsia" w:hAnsiTheme="minorEastAsia" w:eastAsiaTheme="minorEastAsia"/>
                <w:bCs/>
                <w:color w:val="000000" w:themeColor="text1"/>
                <w:sz w:val="18"/>
                <w:szCs w:val="18"/>
              </w:rPr>
              <w:t>下一个投资周期</w:t>
            </w:r>
            <w:r>
              <w:rPr>
                <w:rFonts w:hint="eastAsia" w:asciiTheme="minorEastAsia" w:hAnsiTheme="minorEastAsia" w:eastAsiaTheme="minorEastAsia"/>
                <w:bCs/>
                <w:color w:val="000000" w:themeColor="text1"/>
                <w:sz w:val="18"/>
                <w:szCs w:val="18"/>
              </w:rPr>
              <w:t>。</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（3）</w:t>
            </w:r>
            <w:r>
              <w:rPr>
                <w:rFonts w:hint="eastAsia" w:asciiTheme="majorEastAsia" w:hAnsiTheme="majorEastAsia" w:eastAsiaTheme="majorEastAsia"/>
                <w:bCs/>
                <w:sz w:val="18"/>
                <w:szCs w:val="18"/>
              </w:rPr>
              <w:t>如果投资者在本产品提前终止时仍有未赎回的份额，则产品管理人将于提前终止日将未赎回的产品</w:t>
            </w:r>
            <w:r>
              <w:rPr>
                <w:rFonts w:asciiTheme="majorEastAsia" w:hAnsiTheme="majorEastAsia" w:eastAsiaTheme="majorEastAsia"/>
                <w:bCs/>
                <w:sz w:val="18"/>
                <w:szCs w:val="18"/>
              </w:rPr>
              <w:t>份额</w:t>
            </w:r>
            <w:r>
              <w:rPr>
                <w:rFonts w:hint="eastAsia" w:asciiTheme="majorEastAsia" w:hAnsiTheme="majorEastAsia" w:eastAsiaTheme="majorEastAsia"/>
                <w:bCs/>
                <w:sz w:val="18"/>
                <w:szCs w:val="18"/>
              </w:rPr>
              <w:t>自动进行清算，于提前终止日分配理财资金，本产品终止。</w:t>
            </w:r>
          </w:p>
          <w:p>
            <w:pPr>
              <w:spacing w:line="360" w:lineRule="auto"/>
              <w:rPr>
                <w:rFonts w:ascii="黑体" w:hAnsi="黑体" w:eastAsia="黑体"/>
                <w:color w:val="000000" w:themeColor="text1"/>
                <w:sz w:val="18"/>
                <w:szCs w:val="18"/>
              </w:rPr>
            </w:pPr>
            <w:r>
              <w:rPr>
                <w:rFonts w:hint="eastAsia" w:ascii="黑体" w:hAnsi="黑体" w:eastAsia="黑体"/>
                <w:color w:val="000000" w:themeColor="text1"/>
                <w:sz w:val="18"/>
                <w:szCs w:val="18"/>
              </w:rPr>
              <w:t>4</w:t>
            </w:r>
            <w:r>
              <w:rPr>
                <w:rFonts w:ascii="黑体" w:hAnsi="黑体" w:eastAsia="黑体"/>
                <w:color w:val="000000" w:themeColor="text1"/>
                <w:sz w:val="18"/>
                <w:szCs w:val="18"/>
              </w:rPr>
              <w:t>.</w:t>
            </w:r>
            <w:r>
              <w:rPr>
                <w:rFonts w:hint="eastAsia" w:ascii="黑体" w:hAnsi="黑体" w:eastAsia="黑体"/>
                <w:color w:val="000000" w:themeColor="text1"/>
                <w:sz w:val="18"/>
                <w:szCs w:val="18"/>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rPr>
              <w:t>产品管理人有权调整投资周期，调整后的投资周期以产品管理人发布的公告中所载明的日期为准。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eastAsiaTheme="majorEastAsia"/>
                <w:bCs/>
                <w:color w:val="000000" w:themeColor="text1"/>
                <w:sz w:val="18"/>
                <w:szCs w:val="18"/>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预约申购具体安排如下：</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□预约申购期：【2022】年【10】月【13】日11:00至【2022】年【10】月【19】日15:45；投资周期【280】天；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□预约申购期：【2022】年【10】月【20】日11:00至【2022】年【10】月【26】日15:45；投资周期【273】天；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□预约申购期：【2022】年【10】月【27】日11:00至【2022】年【11】月【02】日15:45；投资周期【266】天</w:t>
            </w:r>
            <w:r>
              <w:rPr>
                <w:rFonts w:asciiTheme="majorEastAsia" w:hAnsiTheme="majorEastAsia" w:eastAsiaTheme="majorEastAsia"/>
                <w:bCs/>
                <w:color w:val="000000" w:themeColor="text1"/>
                <w:sz w:val="18"/>
                <w:szCs w:val="18"/>
              </w:rPr>
              <w:t>。</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1559"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申购日</w:t>
                  </w:r>
                </w:p>
              </w:tc>
              <w:tc>
                <w:tcPr>
                  <w:tcW w:w="1843"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2229"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559"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1559" w:type="dxa"/>
                </w:tcPr>
                <w:p>
                  <w:pPr>
                    <w:pStyle w:val="34"/>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为预约申购期内最后一个工作日</w:t>
                  </w:r>
                </w:p>
              </w:tc>
              <w:tc>
                <w:tcPr>
                  <w:tcW w:w="1843"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申购日后【2】个工作日内</w:t>
                  </w:r>
                </w:p>
              </w:tc>
              <w:tc>
                <w:tcPr>
                  <w:tcW w:w="2229"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注：</w:t>
            </w:r>
            <w:r>
              <w:rPr>
                <w:rFonts w:hint="eastAsia" w:cs="Times New Roman" w:asciiTheme="minorEastAsia" w:hAnsiTheme="minorEastAsia"/>
                <w:sz w:val="18"/>
                <w:szCs w:val="18"/>
              </w:rPr>
              <w:t>本产品在一个完整投资周期结束前，设置一个预约申购期；在一个完整投资周期结束后，再设置多个预约申购期。</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3</w:t>
            </w:r>
            <w:r>
              <w:rPr>
                <w:rFonts w:asciiTheme="majorEastAsia" w:hAnsiTheme="majorEastAsia" w:eastAsiaTheme="majorEastAsia"/>
                <w:bCs/>
                <w:color w:val="000000" w:themeColor="text1"/>
                <w:sz w:val="18"/>
                <w:szCs w:val="18"/>
              </w:rPr>
              <w:t>.预约</w:t>
            </w:r>
            <w:r>
              <w:rPr>
                <w:rFonts w:hint="eastAsia" w:asciiTheme="majorEastAsia" w:hAnsiTheme="majorEastAsia" w:eastAsiaTheme="majorEastAsia"/>
                <w:bCs/>
                <w:color w:val="000000" w:themeColor="text1"/>
                <w:sz w:val="18"/>
                <w:szCs w:val="18"/>
              </w:rPr>
              <w:t>赎回具体安排如下：</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（1）赎回的时间</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预约赎回期：【2023】年【07】月【13】日00:00至【2023】年【07】月【26】日15:45。</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（2）赎回的确认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1559"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赎回日</w:t>
                  </w:r>
                </w:p>
              </w:tc>
              <w:tc>
                <w:tcPr>
                  <w:tcW w:w="1843"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2229"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559"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1559" w:type="dxa"/>
                </w:tcPr>
                <w:p>
                  <w:pPr>
                    <w:pStyle w:val="34"/>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为预约赎回期内最后一个工作日</w:t>
                  </w:r>
                </w:p>
              </w:tc>
              <w:tc>
                <w:tcPr>
                  <w:tcW w:w="1843"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赎回日后【2】个工作日内</w:t>
                  </w:r>
                </w:p>
              </w:tc>
              <w:tc>
                <w:tcPr>
                  <w:tcW w:w="2229"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注：</w:t>
            </w:r>
            <w:r>
              <w:rPr>
                <w:rFonts w:hint="eastAsia" w:asciiTheme="majorEastAsia" w:hAnsiTheme="majorEastAsia"/>
                <w:color w:val="000000" w:themeColor="text1"/>
                <w:sz w:val="18"/>
              </w:rPr>
              <w:t>赎回</w:t>
            </w:r>
            <w:r>
              <w:rPr>
                <w:rFonts w:hint="eastAsia" w:asciiTheme="majorEastAsia" w:hAnsiTheme="majorEastAsia" w:eastAsiaTheme="majorEastAsia"/>
                <w:bCs/>
                <w:color w:val="000000" w:themeColor="text1"/>
                <w:sz w:val="18"/>
                <w:szCs w:val="18"/>
              </w:rPr>
              <w:t>款项于</w:t>
            </w:r>
            <w:r>
              <w:rPr>
                <w:rFonts w:hint="eastAsia" w:cs="Times New Roman" w:asciiTheme="minorEastAsia" w:hAnsiTheme="minorEastAsia" w:eastAsiaTheme="minorEastAsia"/>
                <w:bCs/>
                <w:kern w:val="0"/>
                <w:sz w:val="18"/>
                <w:szCs w:val="18"/>
              </w:rPr>
              <w:t>赎回</w:t>
            </w:r>
            <w:r>
              <w:rPr>
                <w:rFonts w:hint="eastAsia" w:asciiTheme="minorEastAsia" w:hAnsiTheme="minorEastAsia"/>
                <w:kern w:val="0"/>
                <w:sz w:val="18"/>
              </w:rPr>
              <w:t>日后【5】个工作日</w:t>
            </w:r>
            <w:r>
              <w:rPr>
                <w:rFonts w:hint="eastAsia" w:cs="Times New Roman" w:asciiTheme="minorEastAsia" w:hAnsiTheme="minorEastAsia" w:eastAsiaTheme="minorEastAsia"/>
                <w:bCs/>
                <w:kern w:val="0"/>
                <w:sz w:val="18"/>
                <w:szCs w:val="18"/>
              </w:rPr>
              <w:t>内支付给</w:t>
            </w:r>
            <w:r>
              <w:rPr>
                <w:rFonts w:hint="eastAsia" w:asciiTheme="minorEastAsia" w:hAnsiTheme="minorEastAsia"/>
                <w:kern w:val="0"/>
                <w:sz w:val="18"/>
              </w:rPr>
              <w:t>投资者</w:t>
            </w:r>
            <w:r>
              <w:rPr>
                <w:rFonts w:hint="eastAsia" w:cs="Times New Roman" w:asciiTheme="minorEastAsia" w:hAnsiTheme="minorEastAsia" w:eastAsiaTheme="minorEastAsia"/>
                <w:bCs/>
                <w:kern w:val="0"/>
                <w:sz w:val="18"/>
                <w:szCs w:val="18"/>
              </w:rPr>
              <w:t>。</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4.预约申购期/</w:t>
            </w:r>
            <w:r>
              <w:rPr>
                <w:rFonts w:hint="eastAsia" w:asciiTheme="majorEastAsia" w:hAnsiTheme="majorEastAsia" w:eastAsiaTheme="majorEastAsia"/>
                <w:bCs/>
                <w:color w:val="000000" w:themeColor="text1"/>
                <w:sz w:val="18"/>
                <w:szCs w:val="18"/>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5</w:t>
            </w:r>
            <w:r>
              <w:rPr>
                <w:rFonts w:hint="eastAsia" w:asciiTheme="majorEastAsia" w:hAnsiTheme="majorEastAsia" w:eastAsiaTheme="majorEastAsia"/>
                <w:bCs/>
                <w:color w:val="000000" w:themeColor="text1"/>
                <w:sz w:val="18"/>
                <w:szCs w:val="18"/>
              </w:rPr>
              <w:t>.</w:t>
            </w:r>
            <w:r>
              <w:rPr>
                <w:rFonts w:hint="eastAsia" w:cs="Times New Roman" w:asciiTheme="minorEastAsia" w:hAnsiTheme="minorEastAsia"/>
                <w:sz w:val="18"/>
                <w:szCs w:val="18"/>
              </w:rPr>
              <w:t>本产品在一个完整投资周期结束前，由产品</w:t>
            </w:r>
            <w:r>
              <w:rPr>
                <w:rFonts w:cs="Times New Roman" w:asciiTheme="minorEastAsia" w:hAnsiTheme="minorEastAsia"/>
                <w:sz w:val="18"/>
                <w:szCs w:val="18"/>
              </w:rPr>
              <w:t>管理人</w:t>
            </w:r>
            <w:r>
              <w:rPr>
                <w:rFonts w:hint="eastAsia" w:cs="Times New Roman" w:asciiTheme="minorEastAsia" w:hAnsiTheme="minorEastAsia"/>
                <w:sz w:val="18"/>
                <w:szCs w:val="18"/>
              </w:rPr>
              <w:t>更新产品说明书，约定下一个完整投资周期对应的</w:t>
            </w:r>
            <w:r>
              <w:rPr>
                <w:rFonts w:asciiTheme="majorEastAsia" w:hAnsiTheme="majorEastAsia" w:eastAsiaTheme="majorEastAsia"/>
                <w:bCs/>
                <w:color w:val="000000" w:themeColor="text1"/>
                <w:sz w:val="18"/>
                <w:szCs w:val="18"/>
              </w:rPr>
              <w:t>预约申购期/</w:t>
            </w:r>
            <w:r>
              <w:rPr>
                <w:rFonts w:hint="eastAsia" w:asciiTheme="majorEastAsia" w:hAnsiTheme="majorEastAsia" w:eastAsiaTheme="majorEastAsia"/>
                <w:bCs/>
                <w:color w:val="000000" w:themeColor="text1"/>
                <w:sz w:val="18"/>
                <w:szCs w:val="18"/>
              </w:rPr>
              <w:t>预约赎回期。</w:t>
            </w:r>
          </w:p>
          <w:p>
            <w:pPr>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注：关于代理销售机构的实际工作服务时段的提示</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rPr>
              <w:t>以</w:t>
            </w:r>
            <w:r>
              <w:rPr>
                <w:rFonts w:hint="eastAsia" w:ascii="黑体" w:hAnsi="黑体" w:eastAsia="黑体"/>
                <w:bCs/>
                <w:color w:val="000000" w:themeColor="text1"/>
                <w:sz w:val="18"/>
                <w:szCs w:val="18"/>
              </w:rPr>
              <w:t>代理销售机构的展示</w:t>
            </w:r>
            <w:r>
              <w:rPr>
                <w:rFonts w:ascii="黑体" w:hAnsi="黑体" w:eastAsia="黑体"/>
                <w:bCs/>
                <w:color w:val="000000" w:themeColor="text1"/>
                <w:sz w:val="18"/>
                <w:szCs w:val="18"/>
              </w:rPr>
              <w:t>为准</w:t>
            </w:r>
            <w:r>
              <w:rPr>
                <w:rFonts w:hint="eastAsia" w:ascii="黑体" w:hAnsi="黑体" w:eastAsia="黑体"/>
                <w:bCs/>
                <w:color w:val="000000" w:themeColor="text1"/>
                <w:sz w:val="18"/>
                <w:szCs w:val="18"/>
              </w:rPr>
              <w:t>。</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②代理销售机构的实际工作服务时段，最早不得早于销售文件约定</w:t>
            </w:r>
            <w:r>
              <w:rPr>
                <w:rFonts w:ascii="黑体" w:hAnsi="黑体" w:eastAsia="黑体"/>
                <w:bCs/>
                <w:color w:val="000000" w:themeColor="text1"/>
                <w:sz w:val="18"/>
                <w:szCs w:val="18"/>
              </w:rPr>
              <w:t>的</w:t>
            </w:r>
            <w:r>
              <w:rPr>
                <w:rFonts w:hint="eastAsia" w:ascii="黑体" w:hAnsi="黑体" w:eastAsia="黑体"/>
                <w:bCs/>
                <w:color w:val="000000" w:themeColor="text1"/>
                <w:sz w:val="18"/>
                <w:szCs w:val="18"/>
              </w:rPr>
              <w:t>起始时点、最晚不得晚于销售文件</w:t>
            </w:r>
            <w:r>
              <w:rPr>
                <w:rFonts w:ascii="黑体" w:hAnsi="黑体" w:eastAsia="黑体"/>
                <w:bCs/>
                <w:color w:val="000000" w:themeColor="text1"/>
                <w:sz w:val="18"/>
                <w:szCs w:val="18"/>
              </w:rPr>
              <w:t>约定的</w:t>
            </w:r>
            <w:r>
              <w:rPr>
                <w:rFonts w:hint="eastAsia" w:ascii="黑体" w:hAnsi="黑体" w:eastAsia="黑体"/>
                <w:bCs/>
                <w:color w:val="000000" w:themeColor="text1"/>
                <w:sz w:val="18"/>
                <w:szCs w:val="18"/>
              </w:rPr>
              <w:t>终止时点</w:t>
            </w:r>
            <w:r>
              <w:rPr>
                <w:rFonts w:ascii="黑体" w:hAnsi="黑体" w:eastAsia="黑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r>
              <w:rPr>
                <w:rFonts w:hint="eastAsia" w:asciiTheme="majorEastAsia" w:hAnsiTheme="majorEastAsia" w:eastAsiaTheme="majorEastAsia"/>
                <w:bCs/>
                <w:color w:val="000000" w:themeColor="text1"/>
                <w:sz w:val="18"/>
                <w:szCs w:val="18"/>
              </w:rPr>
              <w:t>（适用【A/C】类份额）</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asciiTheme="majorEastAsia" w:hAnsiTheme="majorEastAsia" w:eastAsiaTheme="majorEastAsia"/>
                <w:bCs/>
                <w:sz w:val="18"/>
                <w:szCs w:val="18"/>
              </w:rPr>
              <w:t>300</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000.00</w:t>
            </w:r>
            <w:r>
              <w:rPr>
                <w:rFonts w:hint="eastAsia" w:asciiTheme="majorEastAsia" w:hAnsiTheme="majorEastAsia" w:eastAsiaTheme="majorEastAsia"/>
                <w:bCs/>
                <w:sz w:val="18"/>
                <w:szCs w:val="18"/>
              </w:rPr>
              <w:t>】元；超出起点金额的部分以【1</w:t>
            </w:r>
            <w:r>
              <w:rPr>
                <w:rFonts w:asciiTheme="majorEastAsia" w:hAnsiTheme="majorEastAsia" w:eastAsiaTheme="majorEastAsia"/>
                <w:bCs/>
                <w:sz w:val="18"/>
                <w:szCs w:val="18"/>
              </w:rPr>
              <w:t>0,000.00</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rPr>
              <w:t>（适用【B】类份额）</w:t>
            </w:r>
          </w:p>
          <w:p>
            <w:pPr>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w:t>
            </w:r>
            <w:r>
              <w:rPr>
                <w:rFonts w:ascii="黑体" w:hAnsi="黑体" w:eastAsia="黑体"/>
                <w:bCs/>
                <w:color w:val="000000" w:themeColor="text1"/>
                <w:sz w:val="18"/>
                <w:szCs w:val="18"/>
              </w:rPr>
              <w:t>：</w:t>
            </w:r>
            <w:r>
              <w:rPr>
                <w:rFonts w:hint="eastAsia" w:ascii="黑体" w:hAnsi="黑体" w:eastAsia="黑体"/>
                <w:bCs/>
                <w:color w:val="000000" w:themeColor="text1"/>
                <w:sz w:val="18"/>
                <w:szCs w:val="18"/>
              </w:rPr>
              <w:t>关于代理销售机构的实际销售</w:t>
            </w:r>
            <w:r>
              <w:rPr>
                <w:rFonts w:ascii="黑体" w:hAnsi="黑体" w:eastAsia="黑体"/>
                <w:bCs/>
                <w:color w:val="000000" w:themeColor="text1"/>
                <w:sz w:val="18"/>
                <w:szCs w:val="18"/>
              </w:rPr>
              <w:t>起点金额</w:t>
            </w:r>
            <w:r>
              <w:rPr>
                <w:rFonts w:hint="eastAsia" w:ascii="黑体" w:hAnsi="黑体" w:eastAsia="黑体"/>
                <w:bCs/>
                <w:color w:val="000000" w:themeColor="text1"/>
                <w:sz w:val="18"/>
                <w:szCs w:val="18"/>
              </w:rPr>
              <w:t>的提示</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rPr>
              <w:t>以</w:t>
            </w:r>
            <w:r>
              <w:rPr>
                <w:rFonts w:hint="eastAsia" w:ascii="黑体" w:hAnsi="黑体" w:eastAsia="黑体"/>
                <w:bCs/>
                <w:color w:val="000000" w:themeColor="text1"/>
                <w:sz w:val="18"/>
                <w:szCs w:val="18"/>
              </w:rPr>
              <w:t>代理销售机构展示</w:t>
            </w:r>
            <w:r>
              <w:rPr>
                <w:rFonts w:ascii="黑体" w:hAnsi="黑体" w:eastAsia="黑体"/>
                <w:bCs/>
                <w:color w:val="000000" w:themeColor="text1"/>
                <w:sz w:val="18"/>
                <w:szCs w:val="18"/>
              </w:rPr>
              <w:t>为准</w:t>
            </w:r>
            <w:r>
              <w:rPr>
                <w:rFonts w:hint="eastAsia" w:ascii="黑体" w:hAnsi="黑体" w:eastAsia="黑体"/>
                <w:bCs/>
                <w:color w:val="000000" w:themeColor="text1"/>
                <w:sz w:val="18"/>
                <w:szCs w:val="18"/>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rPr>
              <w:t>②代理销售机构的实际销售起点金额，</w:t>
            </w:r>
            <w:r>
              <w:rPr>
                <w:rFonts w:ascii="黑体" w:hAnsi="黑体" w:eastAsia="黑体"/>
                <w:bCs/>
                <w:color w:val="000000" w:themeColor="text1"/>
                <w:sz w:val="18"/>
                <w:szCs w:val="18"/>
              </w:rPr>
              <w:t>不得低于</w:t>
            </w:r>
            <w:r>
              <w:rPr>
                <w:rFonts w:hint="eastAsia" w:ascii="黑体" w:hAnsi="黑体" w:eastAsia="黑体"/>
                <w:bCs/>
                <w:color w:val="000000" w:themeColor="text1"/>
                <w:sz w:val="18"/>
                <w:szCs w:val="18"/>
              </w:rPr>
              <w:t>销售</w:t>
            </w:r>
            <w:r>
              <w:rPr>
                <w:rFonts w:ascii="黑体" w:hAnsi="黑体" w:eastAsia="黑体"/>
                <w:bCs/>
                <w:color w:val="000000" w:themeColor="text1"/>
                <w:sz w:val="18"/>
                <w:szCs w:val="18"/>
              </w:rPr>
              <w:t>文件约定的</w:t>
            </w:r>
            <w:r>
              <w:rPr>
                <w:rFonts w:hint="eastAsia" w:ascii="黑体" w:hAnsi="黑体" w:eastAsia="黑体"/>
                <w:bCs/>
                <w:color w:val="000000" w:themeColor="text1"/>
                <w:sz w:val="18"/>
                <w:szCs w:val="18"/>
              </w:rPr>
              <w:t>销售</w:t>
            </w:r>
            <w:r>
              <w:rPr>
                <w:rFonts w:ascii="黑体" w:hAnsi="黑体" w:eastAsia="黑体"/>
                <w:bCs/>
                <w:color w:val="000000" w:themeColor="text1"/>
                <w:sz w:val="18"/>
                <w:szCs w:val="18"/>
              </w:rPr>
              <w:t>起点金额</w:t>
            </w:r>
            <w:r>
              <w:rPr>
                <w:rFonts w:hint="eastAsia" w:ascii="黑体" w:hAnsi="黑体" w:eastAsia="黑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】份。受理财利益分配去尾规则的影响，投资者持有产品份额较低时可能无法取得利益。巨额赎回情景发生时，投资者的可赎回份额需要根据巨额赎回规则确定。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w:t>
            </w:r>
            <w:r>
              <w:rPr>
                <w:rFonts w:ascii="黑体" w:hAnsi="黑体" w:eastAsia="黑体"/>
                <w:bCs/>
                <w:color w:val="000000" w:themeColor="text1"/>
                <w:sz w:val="18"/>
                <w:szCs w:val="18"/>
              </w:rPr>
              <w:t>：</w:t>
            </w:r>
            <w:r>
              <w:rPr>
                <w:rFonts w:hint="eastAsia" w:ascii="黑体" w:hAnsi="黑体" w:eastAsia="黑体"/>
                <w:bCs/>
                <w:color w:val="000000" w:themeColor="text1"/>
                <w:sz w:val="18"/>
                <w:szCs w:val="18"/>
              </w:rPr>
              <w:t>本产品单一投资者持有份额不得超过产品总份额50%。</w:t>
            </w:r>
          </w:p>
          <w:p>
            <w:pPr>
              <w:pStyle w:val="34"/>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（1）投资者认购或申购确认后可能导致其持有份额超过产品总份额50%的，管理人有权拒绝或暂停认购、申购。</w:t>
            </w:r>
          </w:p>
          <w:p>
            <w:pPr>
              <w:pStyle w:val="34"/>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34"/>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日之前的估值日公布的产品份额净值已扣除交易手续费、销售服务费、产品托管费、投资管理费。</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rPr>
                <w:rFonts w:asciiTheme="majorEastAsia" w:hAnsiTheme="majorEastAsia"/>
                <w:bCs/>
                <w:sz w:val="18"/>
                <w:szCs w:val="18"/>
              </w:rPr>
            </w:pPr>
            <w:r>
              <w:rPr>
                <w:rFonts w:hint="eastAsia" w:ascii="宋体" w:hAnsi="宋体"/>
                <w:b/>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以一年期定期存款利率为无风险利率，基于当前对未来市场的判断，根据拟投资固定收益类资产的信用利差、久期敞口以及流动性溢价，预判组合的波动幅度，设定业绩基准。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
                <w:bCs/>
                <w:sz w:val="18"/>
                <w:szCs w:val="18"/>
              </w:rPr>
              <w:t>2.业绩比较基准的设定</w:t>
            </w:r>
            <w:r>
              <w:rPr>
                <w:rFonts w:hint="eastAsia" w:asciiTheme="majorEastAsia" w:hAnsiTheme="majorEastAsia" w:eastAsiaTheme="majorEastAsia"/>
                <w:bCs/>
                <w:sz w:val="18"/>
                <w:szCs w:val="18"/>
              </w:rPr>
              <w:t>：</w:t>
            </w:r>
          </w:p>
          <w:p>
            <w:pPr>
              <w:spacing w:line="360" w:lineRule="auto"/>
              <w:jc w:val="left"/>
              <w:rPr>
                <w:rFonts w:asciiTheme="majorEastAsia" w:hAnsiTheme="majorEastAsia"/>
                <w:b/>
                <w:sz w:val="18"/>
              </w:rPr>
            </w:pPr>
            <w:r>
              <w:rPr>
                <w:rFonts w:hint="eastAsia" w:asciiTheme="majorEastAsia" w:hAnsiTheme="majorEastAsia"/>
                <w:b/>
                <w:sz w:val="18"/>
              </w:rPr>
              <w:t>管理人对</w:t>
            </w:r>
            <w:r>
              <w:rPr>
                <w:rFonts w:asciiTheme="majorEastAsia" w:hAnsiTheme="majorEastAsia"/>
                <w:b/>
                <w:sz w:val="18"/>
              </w:rPr>
              <w:t>本产品设定</w:t>
            </w:r>
            <w:r>
              <w:rPr>
                <w:rFonts w:hint="eastAsia" w:asciiTheme="majorEastAsia" w:hAnsiTheme="majorEastAsia"/>
                <w:b/>
                <w:sz w:val="18"/>
              </w:rPr>
              <w:t>业绩比较基准：</w:t>
            </w:r>
          </w:p>
          <w:p>
            <w:pPr>
              <w:spacing w:line="360" w:lineRule="auto"/>
              <w:jc w:val="left"/>
              <w:rPr>
                <w:rFonts w:ascii="宋体" w:hAnsi="宋体"/>
                <w:bCs/>
                <w:color w:val="000000" w:themeColor="text1"/>
                <w:sz w:val="18"/>
                <w:szCs w:val="18"/>
              </w:rPr>
            </w:pPr>
            <w:r>
              <w:rPr>
                <w:rFonts w:ascii="宋体" w:hAnsi="宋体"/>
                <w:b/>
                <w:bCs/>
                <w:sz w:val="18"/>
                <w:szCs w:val="18"/>
              </w:rPr>
              <w:t>A</w:t>
            </w:r>
            <w:r>
              <w:rPr>
                <w:rFonts w:hint="eastAsia" w:ascii="宋体" w:hAnsi="宋体"/>
                <w:b/>
                <w:bCs/>
                <w:sz w:val="18"/>
                <w:szCs w:val="18"/>
              </w:rPr>
              <w:t>类份额：年化【3.0</w:t>
            </w:r>
            <w:r>
              <w:rPr>
                <w:rFonts w:hint="eastAsia" w:ascii="宋体" w:hAnsi="宋体"/>
                <w:b/>
                <w:bCs/>
                <w:sz w:val="18"/>
                <w:szCs w:val="18"/>
                <w:lang w:val="en-US" w:eastAsia="zh-CN"/>
              </w:rPr>
              <w:t>0</w:t>
            </w:r>
            <w:r>
              <w:rPr>
                <w:rFonts w:hint="eastAsia" w:ascii="宋体" w:hAnsi="宋体"/>
                <w:b/>
                <w:bCs/>
                <w:sz w:val="18"/>
                <w:szCs w:val="18"/>
              </w:rPr>
              <w:t>-3.</w:t>
            </w:r>
            <w:r>
              <w:rPr>
                <w:rFonts w:hint="eastAsia" w:ascii="宋体" w:hAnsi="宋体"/>
                <w:b/>
                <w:bCs/>
                <w:sz w:val="18"/>
                <w:szCs w:val="18"/>
                <w:lang w:val="en-US" w:eastAsia="zh-CN"/>
              </w:rPr>
              <w:t>85</w:t>
            </w:r>
            <w:r>
              <w:rPr>
                <w:rFonts w:hint="eastAsia" w:ascii="宋体" w:hAnsi="宋体"/>
                <w:b/>
                <w:bCs/>
                <w:sz w:val="18"/>
                <w:szCs w:val="18"/>
              </w:rPr>
              <w:t>%</w:t>
            </w:r>
            <w:r>
              <w:rPr>
                <w:rFonts w:ascii="宋体" w:hAnsi="宋体"/>
                <w:b/>
                <w:bCs/>
                <w:sz w:val="18"/>
                <w:szCs w:val="18"/>
              </w:rPr>
              <w:t>】</w:t>
            </w:r>
          </w:p>
          <w:p>
            <w:pPr>
              <w:spacing w:line="360" w:lineRule="auto"/>
              <w:jc w:val="left"/>
              <w:rPr>
                <w:rFonts w:ascii="宋体" w:hAnsi="宋体"/>
                <w:bCs/>
                <w:color w:val="000000" w:themeColor="text1"/>
                <w:sz w:val="18"/>
                <w:szCs w:val="18"/>
              </w:rPr>
            </w:pPr>
            <w:r>
              <w:rPr>
                <w:rFonts w:ascii="宋体" w:hAnsi="宋体"/>
                <w:b/>
                <w:bCs/>
                <w:sz w:val="18"/>
                <w:szCs w:val="18"/>
              </w:rPr>
              <w:t>B</w:t>
            </w:r>
            <w:r>
              <w:rPr>
                <w:rFonts w:hint="eastAsia" w:ascii="宋体" w:hAnsi="宋体"/>
                <w:b/>
                <w:bCs/>
                <w:sz w:val="18"/>
                <w:szCs w:val="18"/>
              </w:rPr>
              <w:t>类份额：年化【3.</w:t>
            </w:r>
            <w:r>
              <w:rPr>
                <w:rFonts w:hint="eastAsia" w:ascii="宋体" w:hAnsi="宋体"/>
                <w:b/>
                <w:bCs/>
                <w:sz w:val="18"/>
                <w:szCs w:val="18"/>
                <w:lang w:val="en-US" w:eastAsia="zh-CN"/>
              </w:rPr>
              <w:t>05</w:t>
            </w:r>
            <w:r>
              <w:rPr>
                <w:rFonts w:hint="eastAsia" w:ascii="宋体" w:hAnsi="宋体"/>
                <w:b/>
                <w:bCs/>
                <w:sz w:val="18"/>
                <w:szCs w:val="18"/>
              </w:rPr>
              <w:t>-3.9</w:t>
            </w:r>
            <w:r>
              <w:rPr>
                <w:rFonts w:hint="eastAsia" w:ascii="宋体" w:hAnsi="宋体"/>
                <w:b/>
                <w:bCs/>
                <w:sz w:val="18"/>
                <w:szCs w:val="18"/>
                <w:lang w:val="en-US" w:eastAsia="zh-CN"/>
              </w:rPr>
              <w:t>0</w:t>
            </w:r>
            <w:r>
              <w:rPr>
                <w:rFonts w:hint="eastAsia" w:ascii="宋体" w:hAnsi="宋体"/>
                <w:b/>
                <w:bCs/>
                <w:sz w:val="18"/>
                <w:szCs w:val="18"/>
              </w:rPr>
              <w:t>%</w:t>
            </w:r>
            <w:r>
              <w:rPr>
                <w:rFonts w:ascii="宋体" w:hAnsi="宋体"/>
                <w:b/>
                <w:bCs/>
                <w:sz w:val="18"/>
                <w:szCs w:val="18"/>
              </w:rPr>
              <w:t>】</w:t>
            </w:r>
          </w:p>
          <w:p>
            <w:pPr>
              <w:spacing w:line="360" w:lineRule="auto"/>
              <w:jc w:val="left"/>
              <w:rPr>
                <w:rFonts w:asciiTheme="majorEastAsia" w:hAnsiTheme="majorEastAsia" w:eastAsiaTheme="majorEastAsia"/>
                <w:b/>
                <w:bCs/>
                <w:sz w:val="18"/>
                <w:szCs w:val="18"/>
              </w:rPr>
            </w:pPr>
            <w:r>
              <w:rPr>
                <w:rFonts w:ascii="宋体" w:hAnsi="宋体"/>
                <w:b/>
                <w:bCs/>
                <w:sz w:val="18"/>
                <w:szCs w:val="18"/>
              </w:rPr>
              <w:t>C</w:t>
            </w:r>
            <w:r>
              <w:rPr>
                <w:rFonts w:hint="eastAsia" w:ascii="宋体" w:hAnsi="宋体"/>
                <w:b/>
                <w:bCs/>
                <w:sz w:val="18"/>
                <w:szCs w:val="18"/>
              </w:rPr>
              <w:t>类份额：年化【2.</w:t>
            </w:r>
            <w:r>
              <w:rPr>
                <w:rFonts w:hint="eastAsia" w:ascii="宋体" w:hAnsi="宋体"/>
                <w:b/>
                <w:bCs/>
                <w:sz w:val="18"/>
                <w:szCs w:val="18"/>
                <w:lang w:val="en-US" w:eastAsia="zh-CN"/>
              </w:rPr>
              <w:t>85</w:t>
            </w:r>
            <w:r>
              <w:rPr>
                <w:rFonts w:hint="eastAsia" w:ascii="宋体" w:hAnsi="宋体"/>
                <w:b/>
                <w:bCs/>
                <w:sz w:val="18"/>
                <w:szCs w:val="18"/>
              </w:rPr>
              <w:t>-3.</w:t>
            </w:r>
            <w:r>
              <w:rPr>
                <w:rFonts w:ascii="宋体" w:hAnsi="宋体"/>
                <w:b/>
                <w:bCs/>
                <w:sz w:val="18"/>
                <w:szCs w:val="18"/>
              </w:rPr>
              <w:t>7</w:t>
            </w:r>
            <w:r>
              <w:rPr>
                <w:rFonts w:hint="eastAsia" w:ascii="宋体" w:hAnsi="宋体"/>
                <w:b/>
                <w:bCs/>
                <w:sz w:val="18"/>
                <w:szCs w:val="18"/>
                <w:lang w:val="en-US" w:eastAsia="zh-CN"/>
              </w:rPr>
              <w:t>0</w:t>
            </w:r>
            <w:r>
              <w:rPr>
                <w:rFonts w:hint="eastAsia" w:ascii="宋体" w:hAnsi="宋体"/>
                <w:b/>
                <w:bCs/>
                <w:sz w:val="18"/>
                <w:szCs w:val="18"/>
              </w:rPr>
              <w:t>%</w:t>
            </w:r>
            <w:r>
              <w:rPr>
                <w:rFonts w:ascii="宋体" w:hAnsi="宋体"/>
                <w:b/>
                <w:bCs/>
                <w:sz w:val="18"/>
                <w:szCs w:val="18"/>
              </w:rPr>
              <w:t>】</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3.业绩比较基准的提示：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（1）业绩比较基准不代表理财产品未来表现，不等于理财产品实际收益，不作为产品收益的业绩保证，投资须谨慎。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管理人对本产品设定业绩报酬计提基准：【业绩比较基准上限】。</w:t>
            </w:r>
          </w:p>
          <w:p>
            <w:pPr>
              <w:spacing w:line="360" w:lineRule="auto"/>
              <w:jc w:val="left"/>
              <w:rPr>
                <w:rFonts w:ascii="宋体" w:hAnsi="宋体"/>
                <w:b/>
                <w:bCs/>
                <w:sz w:val="18"/>
                <w:szCs w:val="18"/>
              </w:rPr>
            </w:pPr>
            <w:r>
              <w:rPr>
                <w:rFonts w:hint="eastAsia" w:ascii="宋体" w:hAnsi="宋体"/>
                <w:b/>
                <w:bCs/>
                <w:sz w:val="18"/>
                <w:szCs w:val="18"/>
              </w:rPr>
              <w:t>业绩报酬计提基准仅作为管理人收取超额业绩报酬的参照数值标准，不代表理财产品未来表现，不等于理财产品实际收益，不作为产品收益的业绩保证，投资须谨慎。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hint="eastAsia" w:ascii="宋体" w:hAnsi="宋体"/>
                <w:b/>
                <w:bCs/>
                <w:color w:val="000000" w:themeColor="text1"/>
                <w:sz w:val="18"/>
                <w:szCs w:val="18"/>
              </w:rPr>
              <w:t>认购费：</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hint="eastAsia" w:ascii="宋体" w:hAnsi="宋体"/>
                <w:bCs/>
                <w:color w:val="000000" w:themeColor="text1"/>
                <w:sz w:val="18"/>
                <w:szCs w:val="18"/>
              </w:rPr>
              <w:t>【/】</w:t>
            </w:r>
            <w:r>
              <w:rPr>
                <w:rFonts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hint="eastAsia" w:ascii="宋体" w:hAnsi="宋体"/>
                <w:b/>
                <w:bCs/>
                <w:color w:val="000000" w:themeColor="text1"/>
                <w:sz w:val="18"/>
                <w:szCs w:val="18"/>
              </w:rPr>
              <w:t>赎回费：</w:t>
            </w:r>
            <w:r>
              <w:rPr>
                <w:rFonts w:hint="eastAsia" w:ascii="宋体" w:hAnsi="宋体"/>
                <w:bCs/>
                <w:color w:val="000000" w:themeColor="text1"/>
                <w:sz w:val="18"/>
                <w:szCs w:val="18"/>
              </w:rPr>
              <w:t>【/】。</w:t>
            </w:r>
          </w:p>
          <w:p>
            <w:pPr>
              <w:spacing w:line="360" w:lineRule="auto"/>
              <w:rPr>
                <w:rFonts w:ascii="宋体" w:hAnsi="宋体"/>
                <w:b/>
                <w:bCs/>
                <w:color w:val="000000" w:themeColor="text1"/>
                <w:sz w:val="18"/>
                <w:szCs w:val="18"/>
              </w:rPr>
            </w:pPr>
            <w:r>
              <w:rPr>
                <w:rFonts w:asciiTheme="majorEastAsia" w:hAnsiTheme="majorEastAsia" w:eastAsiaTheme="majorEastAsia"/>
                <w:b/>
                <w:bCs/>
                <w:color w:val="000000" w:themeColor="text1"/>
                <w:sz w:val="18"/>
                <w:szCs w:val="18"/>
              </w:rPr>
              <w:t>4.销售服</w:t>
            </w:r>
            <w:r>
              <w:rPr>
                <w:rFonts w:hint="eastAsia" w:ascii="宋体" w:hAnsi="宋体"/>
                <w:b/>
                <w:bCs/>
                <w:color w:val="000000" w:themeColor="text1"/>
                <w:sz w:val="18"/>
                <w:szCs w:val="18"/>
              </w:rPr>
              <w:t>务费：</w:t>
            </w:r>
          </w:p>
          <w:p>
            <w:pPr>
              <w:spacing w:line="360" w:lineRule="auto"/>
              <w:rPr>
                <w:rFonts w:ascii="宋体" w:hAnsi="宋体"/>
                <w:bCs/>
                <w:color w:val="000000" w:themeColor="text1"/>
                <w:sz w:val="18"/>
                <w:szCs w:val="18"/>
              </w:rPr>
            </w:pP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【0.40】%</w:t>
            </w:r>
            <w:r>
              <w:rPr>
                <w:rFonts w:hint="eastAsia" w:ascii="宋体" w:hAnsi="宋体"/>
                <w:bCs/>
                <w:color w:val="000000" w:themeColor="text1"/>
                <w:sz w:val="18"/>
                <w:szCs w:val="18"/>
              </w:rPr>
              <w:t>（适用A</w:t>
            </w:r>
            <w:r>
              <w:rPr>
                <w:rFonts w:ascii="宋体" w:hAnsi="宋体"/>
                <w:bCs/>
                <w:color w:val="000000" w:themeColor="text1"/>
                <w:sz w:val="18"/>
                <w:szCs w:val="18"/>
              </w:rPr>
              <w:t>/C</w:t>
            </w:r>
            <w:r>
              <w:rPr>
                <w:rFonts w:hint="eastAsia" w:ascii="宋体" w:hAnsi="宋体"/>
                <w:bCs/>
                <w:color w:val="000000" w:themeColor="text1"/>
                <w:sz w:val="18"/>
                <w:szCs w:val="18"/>
              </w:rPr>
              <w:t>类份额）；</w:t>
            </w:r>
          </w:p>
          <w:p>
            <w:pPr>
              <w:spacing w:line="360" w:lineRule="auto"/>
              <w:rPr>
                <w:rFonts w:ascii="宋体" w:hAnsi="宋体"/>
                <w:bCs/>
                <w:color w:val="000000" w:themeColor="text1"/>
                <w:sz w:val="18"/>
                <w:szCs w:val="18"/>
              </w:rPr>
            </w:pP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35</w:t>
            </w:r>
            <w:r>
              <w:rPr>
                <w:rFonts w:hint="eastAsia" w:asciiTheme="majorEastAsia" w:hAnsiTheme="majorEastAsia" w:eastAsiaTheme="majorEastAsia"/>
                <w:sz w:val="18"/>
                <w:szCs w:val="18"/>
              </w:rPr>
              <w:t>】%</w:t>
            </w:r>
            <w:r>
              <w:rPr>
                <w:rFonts w:hint="eastAsia" w:ascii="宋体" w:hAnsi="宋体"/>
                <w:bCs/>
                <w:color w:val="000000" w:themeColor="text1"/>
                <w:sz w:val="18"/>
                <w:szCs w:val="18"/>
              </w:rPr>
              <w:t>（适用B类份额）。</w:t>
            </w:r>
          </w:p>
          <w:p>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hint="eastAsia" w:ascii="宋体" w:hAnsi="宋体"/>
                <w:b/>
                <w:bCs/>
                <w:color w:val="000000" w:themeColor="text1"/>
                <w:sz w:val="18"/>
                <w:szCs w:val="18"/>
              </w:rPr>
              <w:t>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【0.20</w:t>
            </w:r>
            <w:r>
              <w:rPr>
                <w:rFonts w:asciiTheme="majorEastAsia" w:hAnsiTheme="majorEastAsia" w:eastAsiaTheme="majorEastAsia"/>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hint="eastAsia" w:ascii="宋体" w:hAnsi="宋体"/>
                <w:b/>
                <w:bCs/>
                <w:color w:val="000000" w:themeColor="text1"/>
                <w:sz w:val="18"/>
                <w:szCs w:val="18"/>
              </w:rPr>
              <w:t>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【0.03</w:t>
            </w:r>
            <w:r>
              <w:rPr>
                <w:rFonts w:asciiTheme="majorEastAsia" w:hAnsiTheme="majorEastAsia" w:eastAsiaTheme="majorEastAsia"/>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rPr>
              <w:t>。</w:t>
            </w:r>
          </w:p>
          <w:p>
            <w:pPr>
              <w:widowControl/>
              <w:spacing w:line="360" w:lineRule="auto"/>
              <w:jc w:val="left"/>
              <w:rPr>
                <w:rFonts w:ascii="宋体" w:hAnsi="宋体"/>
                <w:b/>
                <w:bCs/>
                <w:color w:val="000000" w:themeColor="text1"/>
                <w:sz w:val="18"/>
                <w:szCs w:val="18"/>
              </w:rPr>
            </w:pPr>
            <w:r>
              <w:rPr>
                <w:rFonts w:hint="eastAsia" w:ascii="宋体" w:hAnsi="宋体"/>
                <w:b/>
                <w:bCs/>
                <w:color w:val="000000" w:themeColor="text1"/>
                <w:sz w:val="18"/>
                <w:szCs w:val="18"/>
              </w:rPr>
              <w:t>7</w:t>
            </w:r>
            <w:r>
              <w:rPr>
                <w:rFonts w:ascii="宋体" w:hAnsi="宋体"/>
                <w:b/>
                <w:bCs/>
                <w:color w:val="000000" w:themeColor="text1"/>
                <w:sz w:val="18"/>
                <w:szCs w:val="18"/>
              </w:rPr>
              <w:t>.</w:t>
            </w:r>
            <w:r>
              <w:rPr>
                <w:rFonts w:hint="eastAsia" w:ascii="宋体" w:hAnsi="宋体"/>
                <w:b/>
                <w:bCs/>
                <w:color w:val="000000" w:themeColor="text1"/>
                <w:sz w:val="18"/>
                <w:szCs w:val="18"/>
              </w:rPr>
              <w:t>超额业绩报酬：</w:t>
            </w:r>
          </w:p>
          <w:p>
            <w:pPr>
              <w:widowControl/>
              <w:spacing w:line="360" w:lineRule="auto"/>
              <w:jc w:val="left"/>
              <w:rPr>
                <w:rFonts w:ascii="宋体" w:hAnsi="宋体"/>
                <w:sz w:val="18"/>
                <w:szCs w:val="18"/>
              </w:rPr>
            </w:pPr>
            <w:r>
              <w:rPr>
                <w:rFonts w:hint="eastAsia" w:ascii="宋体" w:hAnsi="宋体"/>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30%】作为超额业绩报酬。</w:t>
            </w:r>
          </w:p>
          <w:p>
            <w:pPr>
              <w:spacing w:line="360" w:lineRule="auto"/>
              <w:rPr>
                <w:rFonts w:ascii="黑体" w:hAnsi="黑体" w:eastAsia="黑体"/>
                <w:bCs/>
                <w:sz w:val="18"/>
                <w:szCs w:val="18"/>
              </w:rPr>
            </w:pPr>
            <w:r>
              <w:rPr>
                <w:rFonts w:ascii="宋体" w:hAnsi="宋体"/>
                <w:bCs/>
                <w:sz w:val="18"/>
                <w:szCs w:val="18"/>
              </w:rPr>
              <w:t>8</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bookmarkEnd w:id="170"/>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6" w:name="_Toc79154666"/>
      <w:bookmarkStart w:id="7" w:name="_Toc15862"/>
      <w:bookmarkStart w:id="8" w:name="_Toc92377132"/>
      <w:r>
        <w:rPr>
          <w:rFonts w:ascii="Times New Roman"/>
          <w:sz w:val="30"/>
        </w:rPr>
        <w:t>第</w:t>
      </w:r>
      <w:r>
        <w:rPr>
          <w:rFonts w:hint="eastAsia" w:ascii="Times New Roman"/>
          <w:sz w:val="30"/>
        </w:rPr>
        <w:t>三条</w:t>
      </w:r>
      <w:r>
        <w:rPr>
          <w:rFonts w:ascii="Times New Roman"/>
          <w:sz w:val="30"/>
        </w:rPr>
        <w:t xml:space="preserve">  </w:t>
      </w:r>
      <w:bookmarkStart w:id="9" w:name="_Toc79392573"/>
      <w:r>
        <w:rPr>
          <w:rFonts w:hint="eastAsia" w:ascii="Times New Roman"/>
          <w:sz w:val="30"/>
        </w:rPr>
        <w:t>理财产品的认购</w:t>
      </w:r>
      <w:bookmarkEnd w:id="6"/>
      <w:bookmarkEnd w:id="7"/>
      <w:bookmarkEnd w:id="8"/>
    </w:p>
    <w:p>
      <w:pPr>
        <w:spacing w:line="360" w:lineRule="auto"/>
        <w:ind w:firstLine="361" w:firstLineChars="200"/>
        <w:rPr>
          <w:rFonts w:asciiTheme="minorEastAsia" w:hAnsiTheme="minorEastAsia"/>
          <w:b/>
          <w:bCs/>
          <w:sz w:val="18"/>
          <w:szCs w:val="18"/>
        </w:rPr>
      </w:pPr>
      <w:bookmarkStart w:id="10" w:name="_Hlt88031774"/>
      <w:bookmarkEnd w:id="10"/>
      <w:bookmarkStart w:id="11"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w:t>
      </w:r>
      <w:r>
        <w:rPr>
          <w:rFonts w:asciiTheme="minorEastAsia" w:hAnsiTheme="minorEastAsia"/>
          <w:bCs/>
          <w:color w:val="auto"/>
          <w:sz w:val="18"/>
          <w:szCs w:val="18"/>
        </w:rPr>
        <w:t>产品管理人</w:t>
      </w:r>
      <w:r>
        <w:rPr>
          <w:rFonts w:hint="eastAsia" w:asciiTheme="minorEastAsia" w:hAnsiTheme="minorEastAsia"/>
          <w:bCs/>
          <w:color w:val="auto"/>
          <w:sz w:val="18"/>
          <w:szCs w:val="18"/>
        </w:rPr>
        <w:t>可受理投资者提交的认购申请。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.认购的起点和追加金额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spacing w:line="360" w:lineRule="auto"/>
        <w:ind w:firstLine="360" w:firstLineChars="200"/>
        <w:rPr>
          <w:rFonts w:asciiTheme="minorEastAsia" w:hAnsiTheme="minorEastAsia"/>
          <w:bCs/>
          <w:sz w:val="18"/>
          <w:szCs w:val="18"/>
        </w:rPr>
      </w:pPr>
      <w:r>
        <w:rPr>
          <w:rFonts w:hint="eastAsia" w:asciiTheme="minorEastAsia" w:hAnsiTheme="minor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hint="eastAsia" w:asciiTheme="minorEastAsia" w:hAnsiTheme="minorEastAsia"/>
          <w:bCs/>
          <w:sz w:val="18"/>
          <w:szCs w:val="18"/>
        </w:rPr>
        <w:t>进入理财运作，不计算理财利益。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2" w:name="_Toc28040"/>
      <w:bookmarkStart w:id="13" w:name="_Toc92377133"/>
      <w:bookmarkStart w:id="14" w:name="_Toc7915466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2"/>
      <w:bookmarkEnd w:id="13"/>
      <w:bookmarkEnd w:id="14"/>
    </w:p>
    <w:bookmarkEnd w:id="11"/>
    <w:p>
      <w:pPr>
        <w:spacing w:line="360" w:lineRule="auto"/>
        <w:ind w:firstLine="420" w:firstLineChars="200"/>
      </w:pP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预约申购期内产品管理人可受理投资者提交的预约申购申请。</w:t>
      </w:r>
      <w:r>
        <w:rPr>
          <w:rFonts w:hint="eastAsia" w:asciiTheme="majorEastAsia" w:hAnsiTheme="majorEastAsia" w:eastAsiaTheme="majorEastAsia"/>
          <w:color w:val="auto"/>
          <w:sz w:val="18"/>
          <w:szCs w:val="18"/>
        </w:rPr>
        <w:t>提交预约申购申请并不代表申购成功，产品管理人将在申购确认日确认投资者是否申购成功。申购是否成功以管理人的确认结果为准</w:t>
      </w:r>
      <w:r>
        <w:rPr>
          <w:rFonts w:hint="eastAsia" w:asciiTheme="minorEastAsia" w:hAnsiTheme="minorEastAsia" w:eastAsiaTheme="minorEastAsia"/>
          <w:color w:val="auto"/>
          <w:sz w:val="18"/>
          <w:szCs w:val="18"/>
        </w:rPr>
        <w:t>。</w:t>
      </w:r>
      <w:r>
        <w:rPr>
          <w:rFonts w:hint="eastAsia" w:asciiTheme="minorEastAsia" w:hAnsiTheme="minorEastAsia" w:eastAsiaTheme="minorEastAsia"/>
          <w:bCs/>
          <w:color w:val="auto"/>
          <w:sz w:val="18"/>
          <w:szCs w:val="18"/>
        </w:rPr>
        <w:t>投资者可以在申购确认日系统完成处理后，查询产品份额。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申购的起点和追加金额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预约赎回期内产品管理人可受理投资者提交的预约赎回申请。</w:t>
      </w:r>
      <w:r>
        <w:rPr>
          <w:rFonts w:hint="eastAsia" w:asciiTheme="majorEastAsia" w:hAnsiTheme="majorEastAsia" w:eastAsiaTheme="majorEastAsia"/>
          <w:color w:val="auto"/>
          <w:sz w:val="18"/>
          <w:szCs w:val="18"/>
        </w:rPr>
        <w:t>提交预约赎回申请并不代表赎回成功，产品管理人将在赎回确认日确认投资者是否赎回成功。赎回是否成功以管理人的确认结果为准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（四）</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（五）拒绝或暂停申购的情形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（七）巨额赎回的情形及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（八）日期遇非工作日的调整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（九）投资者持有理财份额的限额和理财产品总规模限额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9"/>
    <w:p>
      <w:pPr>
        <w:pStyle w:val="2"/>
        <w:spacing w:before="0" w:after="0" w:line="360" w:lineRule="auto"/>
        <w:jc w:val="center"/>
        <w:rPr>
          <w:rFonts w:ascii="Times New Roman"/>
          <w:sz w:val="30"/>
        </w:rPr>
      </w:pPr>
      <w:bookmarkStart w:id="15" w:name="_Toc74065741"/>
      <w:bookmarkStart w:id="16" w:name="_Toc16265"/>
      <w:bookmarkStart w:id="17" w:name="_Toc7151"/>
      <w:bookmarkStart w:id="18" w:name="_Toc79154668"/>
      <w:bookmarkStart w:id="19" w:name="_Toc27226"/>
      <w:bookmarkStart w:id="20" w:name="_Toc22074"/>
      <w:bookmarkStart w:id="21" w:name="_Toc29948"/>
      <w:bookmarkStart w:id="22" w:name="_Toc90742688"/>
      <w:bookmarkStart w:id="23" w:name="_Toc6714"/>
      <w:bookmarkStart w:id="24" w:name="_Toc90742321"/>
      <w:bookmarkStart w:id="25" w:name="_Toc3266"/>
      <w:bookmarkStart w:id="26" w:name="_Toc24722"/>
      <w:bookmarkStart w:id="27" w:name="_Toc90742390"/>
      <w:bookmarkStart w:id="28" w:name="_Toc15203"/>
      <w:bookmarkStart w:id="29" w:name="_Toc92377134"/>
      <w:bookmarkStart w:id="30" w:name="_Toc27189"/>
      <w:bookmarkStart w:id="31" w:name="_Toc29784"/>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在严格控制组合风险的前提下，通过不断优化组合，力争实现超越业绩比较基准的收益。</w:t>
      </w:r>
    </w:p>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（3）符合监管要求的债权类资产。</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（4）以套期保值为目的的国债期货、利率互换、</w:t>
      </w:r>
      <w:r>
        <w:rPr>
          <w:rFonts w:hint="eastAsia" w:asciiTheme="majorEastAsia" w:hAnsiTheme="majorEastAsia" w:eastAsiaTheme="majorEastAsia"/>
          <w:bCs/>
          <w:color w:val="000000" w:themeColor="text1"/>
          <w:sz w:val="18"/>
          <w:szCs w:val="18"/>
        </w:rPr>
        <w:t>信用风险缓释工具、</w:t>
      </w:r>
      <w:r>
        <w:rPr>
          <w:rFonts w:hint="eastAsia" w:asciiTheme="majorEastAsia" w:hAnsiTheme="majorEastAsia" w:eastAsiaTheme="majorEastAsia"/>
          <w:bCs/>
          <w:sz w:val="18"/>
          <w:szCs w:val="18"/>
        </w:rPr>
        <w:t>债券借贷。</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（6）其他风险不高于前述资产的资产。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本产品投资于固定收益类资产的比例不低于产品总资产的</w:t>
      </w:r>
      <w:r>
        <w:rPr>
          <w:rFonts w:asciiTheme="majorEastAsia" w:hAnsiTheme="majorEastAsia" w:eastAsiaTheme="majorEastAsia"/>
          <w:bCs/>
          <w:sz w:val="18"/>
          <w:szCs w:val="18"/>
        </w:rPr>
        <w:t>80%</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符合监管要求的非标准化债权类资产低于产品总资产的50%。</w:t>
      </w:r>
    </w:p>
    <w:p>
      <w:pPr>
        <w:pStyle w:val="34"/>
        <w:spacing w:line="360" w:lineRule="auto"/>
        <w:ind w:firstLine="423" w:firstLineChars="235"/>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kern w:val="2"/>
          <w:sz w:val="18"/>
          <w:szCs w:val="18"/>
        </w:rPr>
        <w:t>（3）</w:t>
      </w:r>
      <w:r>
        <w:rPr>
          <w:rFonts w:hint="eastAsia" w:asciiTheme="majorEastAsia" w:hAnsiTheme="majorEastAsia" w:eastAsiaTheme="majorEastAsia"/>
          <w:bCs/>
          <w:sz w:val="18"/>
          <w:szCs w:val="18"/>
        </w:rPr>
        <w:t>国债期货、利率互换、信用风险缓释工具等衍生品</w:t>
      </w:r>
      <w:r>
        <w:rPr>
          <w:rFonts w:hint="eastAsia" w:asciiTheme="majorEastAsia" w:hAnsiTheme="majorEastAsia" w:eastAsiaTheme="majorEastAsia"/>
          <w:bCs/>
          <w:color w:val="000000" w:themeColor="text1"/>
          <w:kern w:val="2"/>
          <w:sz w:val="18"/>
          <w:szCs w:val="18"/>
        </w:rPr>
        <w:t>占产品总资产比例低于20%。</w:t>
      </w:r>
    </w:p>
    <w:p>
      <w:pPr>
        <w:autoSpaceDE w:val="0"/>
        <w:autoSpaceDN w:val="0"/>
        <w:adjustRightInd w:val="0"/>
        <w:spacing w:line="360" w:lineRule="auto"/>
        <w:ind w:firstLine="361" w:firstLineChars="200"/>
        <w:jc w:val="left"/>
      </w:pPr>
      <w:r>
        <w:rPr>
          <w:rFonts w:hint="eastAsia" w:asciiTheme="majorEastAsia" w:hAnsiTheme="majorEastAsia" w:eastAsiaTheme="majorEastAsia"/>
          <w:b/>
          <w:sz w:val="18"/>
          <w:szCs w:val="18"/>
        </w:rPr>
        <w:t>注：本产品可能投资不存在活跃交易市场，并且需要采用估值技术确定公允价值的资产，且投资上述资产的比例达到理财产品净资产50%以上。</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.如果法律法规对本协议约定投资组合比例限制进行变更的，以变更后的规定为准。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使产品的投资组合比例符合本协议的有关约定，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应当符合本协议</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协议</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（9）本产品投资资产组合久期不超过【5】年。</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（10）本产品投资的各类债券主体（发行人或担保人）或债项评级达到AA级（含）以上。</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w:t>
      </w:r>
      <w:r>
        <w:rPr>
          <w:rFonts w:asciiTheme="majorEastAsia" w:hAnsiTheme="majorEastAsia" w:eastAsiaTheme="majorEastAsia"/>
          <w:bCs/>
          <w:sz w:val="18"/>
          <w:szCs w:val="18"/>
        </w:rPr>
        <w:t>10个交易日内调整至符合要求，监管机构规定的特殊情形除外。本</w:t>
      </w:r>
      <w:r>
        <w:rPr>
          <w:rFonts w:hint="eastAsia" w:asciiTheme="majorEastAsia" w:hAnsiTheme="majorEastAsia" w:eastAsiaTheme="majorEastAsia"/>
          <w:bCs/>
          <w:kern w:val="0"/>
          <w:sz w:val="18"/>
          <w:szCs w:val="18"/>
        </w:rPr>
        <w:t>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协议</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通过对经济基本面、企业盈利、无风险利率水平、资金面等因素进行定性和定量分析，根据产品的业绩目标和回撤目标制定各个阶段产品股债投资比例。</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 xml:space="preserve">（五）业绩比较基准 </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 xml:space="preserve"> 产品管理人</w:t>
      </w:r>
      <w:r>
        <w:rPr>
          <w:rFonts w:hint="eastAsia" w:asciiTheme="majorEastAsia" w:hAnsiTheme="majorEastAsia" w:eastAsiaTheme="majorEastAsia"/>
          <w:sz w:val="18"/>
          <w:szCs w:val="18"/>
        </w:rPr>
        <w:t>设置</w:t>
      </w:r>
      <w:r>
        <w:rPr>
          <w:rFonts w:asciiTheme="majorEastAsia" w:hAnsiTheme="majorEastAsia" w:eastAsiaTheme="majorEastAsia"/>
          <w:sz w:val="18"/>
          <w:szCs w:val="18"/>
        </w:rPr>
        <w:t>业绩比较基准</w:t>
      </w:r>
      <w:r>
        <w:rPr>
          <w:rFonts w:hint="eastAsia" w:asciiTheme="majorEastAsia" w:hAnsiTheme="majorEastAsia" w:eastAsiaTheme="majorEastAsia"/>
          <w:sz w:val="18"/>
          <w:szCs w:val="18"/>
        </w:rPr>
        <w:t>。</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1.产品管理人设置业绩比较基准</w:t>
      </w:r>
      <w:r>
        <w:rPr>
          <w:rFonts w:asciiTheme="majorEastAsia" w:hAnsiTheme="majorEastAsia" w:eastAsiaTheme="majorEastAsia"/>
          <w:sz w:val="18"/>
          <w:szCs w:val="18"/>
        </w:rPr>
        <w:t>并</w:t>
      </w:r>
      <w:r>
        <w:rPr>
          <w:rFonts w:hint="eastAsia" w:asciiTheme="majorEastAsia" w:hAnsiTheme="majorEastAsia" w:eastAsiaTheme="majorEastAsia"/>
          <w:sz w:val="18"/>
          <w:szCs w:val="18"/>
        </w:rPr>
        <w:t>进行</w:t>
      </w:r>
      <w:r>
        <w:rPr>
          <w:rFonts w:asciiTheme="majorEastAsia" w:hAnsiTheme="majorEastAsia" w:eastAsiaTheme="majorEastAsia"/>
          <w:sz w:val="18"/>
          <w:szCs w:val="18"/>
        </w:rPr>
        <w:t>公告，</w:t>
      </w:r>
      <w:r>
        <w:rPr>
          <w:rFonts w:hint="eastAsia" w:asciiTheme="majorEastAsia" w:hAnsiTheme="majorEastAsia" w:eastAsiaTheme="majorEastAsia"/>
          <w:sz w:val="18"/>
          <w:szCs w:val="18"/>
        </w:rPr>
        <w:t>具体以当期《产品说明书》</w:t>
      </w:r>
      <w:r>
        <w:rPr>
          <w:rFonts w:hint="eastAsia" w:asciiTheme="minorEastAsia" w:hAnsiTheme="minorEastAsia" w:eastAsiaTheme="minorEastAsia"/>
          <w:sz w:val="18"/>
          <w:szCs w:val="18"/>
        </w:rPr>
        <w:t xml:space="preserve"> “第二条 理财产品基本情况”</w:t>
      </w:r>
      <w:r>
        <w:rPr>
          <w:rFonts w:hint="eastAsia" w:asciiTheme="majorEastAsia" w:hAnsiTheme="majorEastAsia" w:eastAsiaTheme="majorEastAsia"/>
          <w:sz w:val="18"/>
          <w:szCs w:val="18"/>
        </w:rPr>
        <w:t>为准。</w:t>
      </w:r>
    </w:p>
    <w:p>
      <w:pPr>
        <w:pStyle w:val="20"/>
        <w:shd w:val="clear" w:color="auto" w:fill="FFFFFF"/>
        <w:spacing w:line="360" w:lineRule="auto"/>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hint="eastAsia" w:ascii="黑体" w:hAnsi="黑体" w:eastAsia="黑体" w:cs="仿宋_GB2312"/>
          <w:bCs/>
          <w:sz w:val="18"/>
          <w:szCs w:val="18"/>
        </w:rPr>
        <w:t>★</w:t>
      </w:r>
      <w:r>
        <w:rPr>
          <w:rFonts w:hint="eastAsia" w:ascii="黑体" w:hAnsi="黑体" w:eastAsia="黑体"/>
          <w:sz w:val="18"/>
          <w:szCs w:val="18"/>
        </w:rPr>
        <w:t>业绩比较基准</w:t>
      </w:r>
      <w:r>
        <w:rPr>
          <w:rFonts w:hint="eastAsia" w:ascii="黑体" w:hAnsi="黑体" w:eastAsia="黑体"/>
          <w:bCs/>
          <w:sz w:val="18"/>
          <w:szCs w:val="18"/>
        </w:rPr>
        <w:t>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asciiTheme="majorEastAsia" w:hAnsiTheme="majorEastAsia" w:eastAsiaTheme="majorEastAsia"/>
          <w:sz w:val="18"/>
          <w:szCs w:val="18"/>
        </w:rPr>
        <w:t>3.</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产品管理人不设置业绩比较基准。</w:t>
      </w:r>
    </w:p>
    <w:p>
      <w:pPr>
        <w:autoSpaceDE w:val="0"/>
        <w:autoSpaceDN w:val="0"/>
        <w:adjustRightInd w:val="0"/>
        <w:spacing w:line="360" w:lineRule="auto"/>
        <w:ind w:firstLine="361" w:firstLineChars="200"/>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（六）业绩报酬计提基准</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kern w:val="0"/>
          <w:sz w:val="18"/>
          <w:szCs w:val="18"/>
        </w:rPr>
        <w:t xml:space="preserve"> 产品管理人设置业绩报酬计提基准。</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1.产品管理人设置业绩报酬计提基准并进行公告，具体以当期《产品说明书》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pStyle w:val="20"/>
        <w:shd w:val="clear" w:color="auto" w:fill="FFFFFF"/>
        <w:spacing w:line="360" w:lineRule="auto"/>
        <w:ind w:firstLine="360" w:firstLineChars="200"/>
        <w:rPr>
          <w:rFonts w:ascii="黑体" w:hAnsi="黑体" w:eastAsia="黑体"/>
          <w:sz w:val="18"/>
          <w:szCs w:val="18"/>
        </w:rPr>
      </w:pPr>
      <w:r>
        <w:rPr>
          <w:rFonts w:hint="eastAsia" w:ascii="黑体" w:hAnsi="黑体" w:eastAsia="黑体"/>
          <w:sz w:val="18"/>
          <w:szCs w:val="18"/>
        </w:rPr>
        <w:t>2.★业绩报酬计提基准仅作为管理人收取超额业绩报酬的参照，不代表理财产品未来表现，不等于理财产品实际收益，不作为产品收益的业绩保证，投资须谨慎。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产品管理人不设置业绩报酬计提基准。</w:t>
      </w:r>
    </w:p>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2" w:name="_Toc4741"/>
      <w:bookmarkStart w:id="33" w:name="_Toc74065742"/>
      <w:bookmarkStart w:id="34" w:name="_Toc26986"/>
      <w:bookmarkStart w:id="35" w:name="_Toc17912"/>
      <w:bookmarkStart w:id="36" w:name="_Toc21988"/>
      <w:bookmarkStart w:id="37" w:name="_Toc79154669"/>
      <w:bookmarkStart w:id="38" w:name="_Toc14893"/>
      <w:bookmarkStart w:id="39" w:name="_Toc18329"/>
      <w:bookmarkStart w:id="40" w:name="_Toc7848"/>
      <w:bookmarkStart w:id="41" w:name="_Toc18797"/>
      <w:bookmarkStart w:id="42" w:name="_Toc18526"/>
      <w:bookmarkStart w:id="43" w:name="_Toc27357"/>
      <w:bookmarkStart w:id="44" w:name="_Toc141703885"/>
      <w:bookmarkStart w:id="45" w:name="_Toc139991735"/>
      <w:bookmarkStart w:id="46" w:name="_Toc92377135"/>
      <w:bookmarkStart w:id="47" w:name="_Toc1823"/>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34"/>
        <w:spacing w:line="360" w:lineRule="auto"/>
        <w:ind w:firstLine="361" w:firstLineChars="200"/>
        <w:rPr>
          <w:rFonts w:asciiTheme="majorEastAsia" w:hAnsiTheme="majorEastAsia" w:eastAsiaTheme="majorEastAsia"/>
          <w:b/>
          <w:color w:val="auto"/>
          <w:sz w:val="18"/>
          <w:szCs w:val="18"/>
        </w:rPr>
      </w:pPr>
      <w:bookmarkStart w:id="48"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8"/>
    <w:p>
      <w:pPr>
        <w:pStyle w:val="2"/>
        <w:spacing w:before="0" w:after="0" w:line="360" w:lineRule="auto"/>
        <w:jc w:val="center"/>
        <w:rPr>
          <w:rFonts w:ascii="Times New Roman"/>
          <w:sz w:val="28"/>
          <w:szCs w:val="28"/>
        </w:rPr>
      </w:pPr>
      <w:bookmarkStart w:id="49" w:name="_Toc10162"/>
      <w:bookmarkStart w:id="50" w:name="_Toc83391971"/>
      <w:bookmarkStart w:id="51" w:name="_Toc92377136"/>
      <w:bookmarkStart w:id="52" w:name="_Toc23261"/>
      <w:bookmarkStart w:id="53" w:name="_Toc7920"/>
      <w:bookmarkStart w:id="54" w:name="_Toc610"/>
      <w:bookmarkStart w:id="55" w:name="_Toc10463"/>
      <w:bookmarkStart w:id="56" w:name="_Toc48649707"/>
      <w:bookmarkStart w:id="57" w:name="_Toc17244"/>
      <w:bookmarkStart w:id="58" w:name="_Toc98560352"/>
      <w:bookmarkStart w:id="59" w:name="_Toc74065743"/>
      <w:bookmarkStart w:id="60" w:name="_Toc20733"/>
      <w:bookmarkStart w:id="61" w:name="_Toc1270"/>
      <w:bookmarkStart w:id="62" w:name="_Toc139991736"/>
      <w:bookmarkStart w:id="63" w:name="_Toc123112234"/>
      <w:bookmarkStart w:id="64" w:name="_Toc123102453"/>
      <w:bookmarkStart w:id="65" w:name="_Toc141703886"/>
      <w:bookmarkStart w:id="66" w:name="_Toc79392606"/>
      <w:bookmarkStart w:id="67" w:name="_Toc4003"/>
      <w:bookmarkStart w:id="68" w:name="_Toc123051452"/>
      <w:bookmarkStart w:id="69" w:name="_Toc1427"/>
      <w:bookmarkStart w:id="70" w:name="_Toc79154670"/>
      <w:bookmarkStart w:id="71" w:name="_Toc23822"/>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49"/>
      <w:bookmarkEnd w:id="50"/>
      <w:bookmarkEnd w:id="51"/>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，每周进行一次估值。如遇产品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w:t>
      </w:r>
      <w:r>
        <w:rPr>
          <w:rFonts w:cs="Times New Roman" w:asciiTheme="minorEastAsia" w:hAnsiTheme="minorEastAsia" w:eastAsiaTheme="minorEastAsia"/>
          <w:sz w:val="18"/>
          <w:szCs w:val="18"/>
        </w:rPr>
        <w:t>、半年度、年度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4"/>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w:t>
      </w:r>
      <w:r>
        <w:rPr>
          <w:rFonts w:hint="eastAsia" w:asciiTheme="minorEastAsia" w:hAnsiTheme="minorEastAsia" w:eastAsiaTheme="minorEastAsia"/>
          <w:b/>
          <w:color w:val="auto"/>
          <w:sz w:val="18"/>
          <w:szCs w:val="18"/>
        </w:rPr>
        <w:t>标准化债权类资产估值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1）债券类资产以公允价值计量，主要依据为第三方估值机构提供的价格数据。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对在银行间市场或交易所市场已发行未上市流通的债券，且第三方估值机构未提供估值数据，采用估值技术确定其公允价值。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5）同一债券同时在两个或两个以上市场交易的，按债券所处的市场及相应的估值标准，分别进行估值。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3.非标准化债权类资产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4.上市公司股票</w:t>
      </w:r>
      <w:r>
        <w:rPr>
          <w:rFonts w:hint="eastAsia" w:asciiTheme="majorEastAsia" w:hAnsiTheme="majorEastAsia" w:eastAsiaTheme="majorEastAsia"/>
          <w:b/>
          <w:bCs/>
          <w:color w:val="auto"/>
          <w:sz w:val="18"/>
          <w:szCs w:val="18"/>
        </w:rPr>
        <w:t>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5.未上市公司股权</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6.</w:t>
      </w:r>
      <w:r>
        <w:rPr>
          <w:rFonts w:hint="eastAsia" w:asciiTheme="minorEastAsia" w:hAnsiTheme="minorEastAsia" w:eastAsiaTheme="minorEastAsia"/>
          <w:b/>
          <w:color w:val="auto"/>
          <w:sz w:val="18"/>
          <w:szCs w:val="18"/>
        </w:rPr>
        <w:t>优先股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eastAsiaTheme="minorEastAsia"/>
          <w:b/>
          <w:color w:val="auto"/>
          <w:sz w:val="18"/>
          <w:szCs w:val="18"/>
        </w:rPr>
        <w:t>证券投资基金估值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其他资产管理产品的估值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9.衍生金融工具估值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hAnsiTheme="minorEastAsia" w:eastAsiaTheme="minorEastAsia"/>
          <w:color w:val="auto"/>
          <w:sz w:val="18"/>
          <w:szCs w:val="18"/>
        </w:rPr>
        <w:t xml:space="preserve"> </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10.</w:t>
      </w:r>
      <w:r>
        <w:rPr>
          <w:rFonts w:hint="eastAsia" w:asciiTheme="minorEastAsia" w:hAnsiTheme="minorEastAsia" w:eastAsiaTheme="minorEastAsia"/>
          <w:b/>
          <w:color w:val="auto"/>
          <w:sz w:val="18"/>
          <w:szCs w:val="18"/>
        </w:rPr>
        <w:t>存款、拆借、回购等货币市场工具的估值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Pr>
        <w:pStyle w:val="2"/>
        <w:spacing w:before="0" w:after="0" w:line="360" w:lineRule="auto"/>
        <w:ind w:left="60" w:firstLine="10"/>
        <w:jc w:val="center"/>
        <w:rPr>
          <w:rFonts w:ascii="Times New Roman"/>
          <w:sz w:val="30"/>
        </w:rPr>
      </w:pPr>
      <w:bookmarkStart w:id="72" w:name="_Hlt70481650"/>
      <w:bookmarkEnd w:id="72"/>
      <w:bookmarkStart w:id="73" w:name="_Toc31235"/>
      <w:bookmarkStart w:id="74" w:name="_Toc74065744"/>
      <w:bookmarkStart w:id="75" w:name="_Toc141703887"/>
      <w:bookmarkStart w:id="76" w:name="_Toc123102454"/>
      <w:bookmarkStart w:id="77" w:name="_Toc123051453"/>
      <w:bookmarkStart w:id="78" w:name="_Toc12245"/>
      <w:bookmarkStart w:id="79" w:name="_Toc79154671"/>
      <w:bookmarkStart w:id="80" w:name="_Toc6405"/>
      <w:bookmarkStart w:id="81" w:name="_Toc98560353"/>
      <w:bookmarkStart w:id="82" w:name="_Toc3138"/>
      <w:bookmarkStart w:id="83" w:name="_Toc31653"/>
      <w:bookmarkStart w:id="84" w:name="_Toc123112235"/>
      <w:bookmarkStart w:id="85" w:name="_Toc31644"/>
      <w:bookmarkStart w:id="86" w:name="_Toc139991737"/>
      <w:bookmarkStart w:id="87" w:name="_Toc26207"/>
      <w:bookmarkStart w:id="88" w:name="_Toc14835"/>
      <w:bookmarkStart w:id="89" w:name="_Toc92377137"/>
      <w:bookmarkStart w:id="90" w:name="_Toc15143"/>
      <w:bookmarkStart w:id="91" w:name="_Toc3601"/>
      <w:bookmarkStart w:id="92" w:name="_Toc29251"/>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Start w:id="93" w:name="_Hlt55355235"/>
      <w:bookmarkEnd w:id="93"/>
      <w:bookmarkStart w:id="94" w:name="_Toc79392580"/>
      <w:bookmarkStart w:id="95" w:name="_Toc523711668"/>
      <w:bookmarkStart w:id="96" w:name="_Toc15118234"/>
      <w:bookmarkStart w:id="97"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w:t>
      </w:r>
      <w:r>
        <w:rPr>
          <w:rFonts w:hint="eastAsia" w:hAnsi="宋体"/>
          <w:color w:val="auto"/>
          <w:sz w:val="18"/>
          <w:szCs w:val="18"/>
        </w:rPr>
        <w:t>具体的理财利益分配以实际情况为准。</w:t>
      </w:r>
    </w:p>
    <w:p>
      <w:pPr>
        <w:widowControl/>
        <w:spacing w:line="360" w:lineRule="auto"/>
        <w:jc w:val="left"/>
        <w:rPr>
          <w:rFonts w:ascii="宋体" w:hAnsi="宋体"/>
          <w:kern w:val="0"/>
          <w:sz w:val="18"/>
          <w:szCs w:val="18"/>
        </w:rPr>
      </w:pPr>
      <w:r>
        <w:rPr>
          <w:rFonts w:hAnsi="宋体"/>
          <w:sz w:val="18"/>
          <w:szCs w:val="18"/>
        </w:rPr>
        <w:br w:type="page"/>
      </w:r>
    </w:p>
    <w:bookmarkEnd w:id="94"/>
    <w:bookmarkEnd w:id="95"/>
    <w:bookmarkEnd w:id="96"/>
    <w:bookmarkEnd w:id="97"/>
    <w:p>
      <w:pPr>
        <w:pStyle w:val="2"/>
        <w:spacing w:before="0" w:after="0" w:line="360" w:lineRule="auto"/>
        <w:jc w:val="center"/>
        <w:rPr>
          <w:rFonts w:ascii="Times New Roman"/>
          <w:sz w:val="30"/>
        </w:rPr>
      </w:pPr>
      <w:bookmarkStart w:id="98" w:name="_Hlt88825574"/>
      <w:bookmarkEnd w:id="98"/>
      <w:bookmarkStart w:id="99" w:name="_Hlt88897298"/>
      <w:bookmarkEnd w:id="99"/>
      <w:bookmarkStart w:id="100" w:name="_Toc79392583"/>
      <w:bookmarkStart w:id="101" w:name="_Toc6447"/>
      <w:bookmarkStart w:id="102" w:name="_Toc123102455"/>
      <w:bookmarkStart w:id="103" w:name="_Toc17110"/>
      <w:bookmarkStart w:id="104" w:name="_Toc25783"/>
      <w:bookmarkStart w:id="105" w:name="_Toc141703888"/>
      <w:bookmarkStart w:id="106" w:name="_Toc18567"/>
      <w:bookmarkStart w:id="107" w:name="_Toc3771"/>
      <w:bookmarkStart w:id="108" w:name="_Toc79154672"/>
      <w:bookmarkStart w:id="109" w:name="_Toc7058"/>
      <w:bookmarkStart w:id="110" w:name="_Toc74065745"/>
      <w:bookmarkStart w:id="111" w:name="_Toc3321"/>
      <w:bookmarkStart w:id="112" w:name="_Toc10650"/>
      <w:bookmarkStart w:id="113" w:name="_Toc123051454"/>
      <w:bookmarkStart w:id="114" w:name="_Toc139991738"/>
      <w:bookmarkStart w:id="115" w:name="_Toc98560354"/>
      <w:bookmarkStart w:id="116" w:name="_Toc11030"/>
      <w:bookmarkStart w:id="117" w:name="_Toc9706"/>
      <w:bookmarkStart w:id="118" w:name="_Toc4559"/>
      <w:bookmarkStart w:id="119" w:name="_Toc92377138"/>
      <w:bookmarkStart w:id="120" w:name="_Toc123112236"/>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）理财产品的证券交易费用；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超额业绩报酬的具体比例数值以《产品说明书》“第二条 理财产品基本情况”为准。</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1）收取超额业绩报酬的原则：</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①按投资者每份产品份额分别计算年化收益率并计提超额业绩报酬；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③在每个赎回日提取超额业绩报酬的，超额业绩报酬从理财资金中扣除；在产品终止日提取超额业绩报酬的，超额业绩报酬从清算资金中扣除。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2）超额业绩报酬计提方法</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①超额业绩报酬计提日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每份产品份额超额业绩报酬计提日为每个赎回日或产品终止日。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②超额业绩报酬的计算</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产品管理人对每份产品份额年化收益率（R）超过当期业绩报酬计提基准的部分，按比例（N）以及该份产品份额当期投资周期天数（D）提取超额业绩报酬，计算方法如下：</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当R≤当期业绩报酬计提基准，超额业绩报酬=0；</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当R＞当期业绩报酬计提基准，超额业绩报酬=投资者持有的产品份额数量×产品成立日或当期投资周期产品份额申购日的产品份额净值×（R-当期业绩报酬计提基准）×N×D/365；</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21" w:name="_Toc1745"/>
      <w:bookmarkStart w:id="122" w:name="_Toc3963"/>
      <w:r>
        <w:br w:type="page"/>
      </w:r>
      <w:bookmarkStart w:id="123" w:name="_Toc74065746"/>
      <w:bookmarkStart w:id="124" w:name="_Toc3080"/>
      <w:bookmarkStart w:id="125" w:name="_Toc4606"/>
      <w:bookmarkStart w:id="126" w:name="_Toc123051455"/>
      <w:bookmarkStart w:id="127" w:name="_Toc31821"/>
      <w:bookmarkStart w:id="128" w:name="_Toc98560355"/>
      <w:bookmarkStart w:id="129" w:name="_Toc10398"/>
      <w:bookmarkStart w:id="130" w:name="_Toc141703889"/>
      <w:bookmarkStart w:id="131" w:name="_Toc123112237"/>
      <w:bookmarkStart w:id="132" w:name="_Toc123102456"/>
      <w:bookmarkStart w:id="133" w:name="_Toc21735"/>
      <w:bookmarkStart w:id="134" w:name="_Toc92377139"/>
      <w:bookmarkStart w:id="135" w:name="_Toc79154673"/>
      <w:bookmarkStart w:id="136" w:name="_Toc725"/>
      <w:bookmarkStart w:id="137" w:name="_Toc16164"/>
      <w:bookmarkStart w:id="138" w:name="_Toc139991739"/>
      <w:bookmarkStart w:id="139" w:name="_Toc3572"/>
      <w:bookmarkStart w:id="140" w:name="_Toc18206"/>
      <w:r>
        <w:rPr>
          <w:rFonts w:hint="eastAsia"/>
          <w:sz w:val="30"/>
        </w:rPr>
        <w:t>第十条</w:t>
      </w:r>
      <w:r>
        <w:rPr>
          <w:sz w:val="30"/>
        </w:rPr>
        <w:t xml:space="preserve">  </w:t>
      </w:r>
      <w:r>
        <w:rPr>
          <w:rFonts w:hint="eastAsia"/>
          <w:sz w:val="30"/>
        </w:rPr>
        <w:t>理财产品的终止与清算</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spacing w:line="360" w:lineRule="auto"/>
        <w:ind w:firstLine="361" w:firstLineChars="200"/>
        <w:rPr>
          <w:rFonts w:asciiTheme="majorEastAsia" w:hAnsiTheme="majorEastAsia" w:eastAsiaTheme="majorEastAsia"/>
          <w:b/>
          <w:bCs/>
          <w:sz w:val="18"/>
          <w:szCs w:val="18"/>
        </w:rPr>
      </w:pPr>
      <w:bookmarkStart w:id="141" w:name="_Toc57530252"/>
      <w:bookmarkStart w:id="142" w:name="_Toc15118245"/>
      <w:bookmarkStart w:id="143"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因法律法规变化或国家金融政策调整、紧急措施出台影响产品继续正常运作。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法律法规规定或监管部门认定的其他情形。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因不可抗力等原因，导致产品管理人接受赎回申请后无法分配；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部分提前终止的利益分配：产品管理人将依照协议约定公布部分提前终止日并指定利益分配日（一般为部分提前终止日之后的【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此外，在投资者与管理人另行协商一致延期终止本产品的情况下，相应延期期间理财产品的投资运作，费用等事宜由双方另行约定。</w:t>
      </w:r>
    </w:p>
    <w:bookmarkEnd w:id="141"/>
    <w:bookmarkEnd w:id="142"/>
    <w:bookmarkEnd w:id="143"/>
    <w:p>
      <w:pPr>
        <w:pStyle w:val="2"/>
        <w:spacing w:before="0" w:after="0" w:line="360" w:lineRule="auto"/>
        <w:jc w:val="center"/>
        <w:rPr>
          <w:rFonts w:ascii="Times New Roman"/>
          <w:sz w:val="18"/>
          <w:szCs w:val="18"/>
        </w:rPr>
      </w:pPr>
      <w:r>
        <w:rPr>
          <w:rFonts w:ascii="Times New Roman"/>
          <w:b w:val="0"/>
          <w:bCs w:val="0"/>
          <w:kern w:val="2"/>
        </w:rPr>
        <w:br w:type="page"/>
      </w:r>
      <w:bookmarkStart w:id="144" w:name="_Toc11469"/>
      <w:bookmarkStart w:id="145" w:name="_Toc92377140"/>
      <w:bookmarkStart w:id="146" w:name="_Toc29408"/>
      <w:bookmarkStart w:id="147" w:name="_Toc48649708"/>
      <w:bookmarkStart w:id="148" w:name="_Toc83391975"/>
      <w:bookmarkStart w:id="149" w:name="_Toc123051456"/>
      <w:bookmarkStart w:id="150" w:name="_Toc8791"/>
      <w:bookmarkStart w:id="151" w:name="_Toc123102457"/>
      <w:bookmarkStart w:id="152" w:name="_Toc141703890"/>
      <w:bookmarkStart w:id="153" w:name="_Toc123112238"/>
      <w:bookmarkStart w:id="154" w:name="_Toc17920"/>
      <w:bookmarkStart w:id="155" w:name="_Toc21237"/>
      <w:bookmarkStart w:id="156" w:name="_Toc79392622"/>
      <w:bookmarkStart w:id="157" w:name="_Toc32092"/>
      <w:bookmarkStart w:id="158" w:name="_Toc739"/>
      <w:bookmarkStart w:id="159" w:name="_Toc139991740"/>
      <w:bookmarkStart w:id="160" w:name="_Toc32584"/>
      <w:bookmarkStart w:id="161" w:name="_Toc79154674"/>
      <w:bookmarkStart w:id="162" w:name="_Toc5170"/>
      <w:bookmarkStart w:id="163" w:name="_Toc74065747"/>
      <w:bookmarkStart w:id="164" w:name="_Toc17198"/>
      <w:bookmarkStart w:id="165" w:name="_Toc3329"/>
      <w:bookmarkStart w:id="166" w:name="_Toc98560356"/>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44"/>
      <w:bookmarkEnd w:id="145"/>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通过兴业银行或销售机构的信息披露渠道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的产品份额净值、产品份额累计净值、业绩比较基准（如有）、业绩报酬计提基准（如有）等。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hint="eastAsia" w:ascii="宋体" w:hAnsi="宋体"/>
          <w:bCs/>
          <w:sz w:val="18"/>
          <w:szCs w:val="18"/>
        </w:rPr>
        <w:t>基准</w:t>
      </w:r>
      <w:r>
        <w:rPr>
          <w:rFonts w:ascii="宋体" w:hAnsi="宋体"/>
          <w:bCs/>
          <w:sz w:val="18"/>
          <w:szCs w:val="18"/>
        </w:rPr>
        <w:t>（</w:t>
      </w:r>
      <w:r>
        <w:rPr>
          <w:rFonts w:hint="eastAsia" w:ascii="宋体" w:hAnsi="宋体"/>
          <w:bCs/>
          <w:sz w:val="18"/>
          <w:szCs w:val="18"/>
        </w:rPr>
        <w:t>如有</w:t>
      </w:r>
      <w:r>
        <w:rPr>
          <w:rFonts w:ascii="宋体" w:hAnsi="宋体"/>
          <w:bCs/>
          <w:sz w:val="18"/>
          <w:szCs w:val="18"/>
        </w:rPr>
        <w:t>）</w:t>
      </w:r>
      <w:r>
        <w:rPr>
          <w:rFonts w:hint="eastAsia" w:ascii="宋体" w:hAnsi="宋体"/>
          <w:bCs/>
          <w:sz w:val="18"/>
          <w:szCs w:val="18"/>
        </w:rPr>
        <w:t>等。如遇法定节假日顺延。此外，如遇其他特殊情况，以产品管理人信息披露为准。</w:t>
      </w:r>
      <w:r>
        <w:rPr>
          <w:rFonts w:ascii="宋体" w:hAnsi="宋体"/>
          <w:bCs/>
          <w:sz w:val="18"/>
          <w:szCs w:val="18"/>
        </w:rPr>
        <w:t xml:space="preserve"> </w:t>
      </w:r>
    </w:p>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若相关基准数值发生变更的，不再另行发布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bCs/>
          <w:sz w:val="24"/>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财产品的，在符合法律法规及监管政策的前提下，可由管理人另行决定投资者的退出方式）。若投资者未选择退出本产品的，则视为已理解并接受管理人的相应变更。</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sz w:val="24"/>
        </w:rPr>
        <w:br w:type="page"/>
      </w:r>
    </w:p>
    <w:p>
      <w:pPr>
        <w:pStyle w:val="2"/>
        <w:spacing w:before="0" w:after="0" w:line="360" w:lineRule="auto"/>
        <w:jc w:val="center"/>
        <w:rPr>
          <w:rFonts w:ascii="Times New Roman"/>
          <w:b w:val="0"/>
          <w:sz w:val="30"/>
        </w:rPr>
      </w:pPr>
      <w:bookmarkStart w:id="167" w:name="_Toc92377141"/>
      <w:bookmarkStart w:id="168" w:name="_Toc79154675"/>
      <w:bookmarkStart w:id="169" w:name="_Toc24766"/>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67"/>
      <w:bookmarkEnd w:id="168"/>
      <w:bookmarkEnd w:id="169"/>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bCs/>
          <w:sz w:val="18"/>
          <w:szCs w:val="18"/>
        </w:rPr>
      </w:pPr>
      <w:r>
        <w:rPr>
          <w:rFonts w:hint="eastAsia" w:ascii="宋体" w:hAnsi="宋体"/>
          <w:bCs/>
          <w:sz w:val="18"/>
          <w:szCs w:val="18"/>
        </w:rPr>
        <w:t>1.拟投资市场和资产的风险：</w:t>
      </w:r>
    </w:p>
    <w:p>
      <w:pPr>
        <w:spacing w:line="360" w:lineRule="auto"/>
        <w:ind w:firstLine="360" w:firstLineChars="200"/>
        <w:rPr>
          <w:rFonts w:ascii="宋体" w:hAnsi="宋体"/>
          <w:bCs/>
          <w:sz w:val="18"/>
          <w:szCs w:val="18"/>
        </w:rPr>
      </w:pPr>
      <w:r>
        <w:rPr>
          <w:rFonts w:hint="eastAsia" w:ascii="宋体" w:hAnsi="宋体"/>
          <w:bCs/>
          <w:sz w:val="18"/>
          <w:szCs w:val="18"/>
        </w:rPr>
        <w:t>（1）投资固定收益类资产的风险</w:t>
      </w:r>
    </w:p>
    <w:p>
      <w:pPr>
        <w:spacing w:line="360" w:lineRule="auto"/>
        <w:ind w:firstLine="360" w:firstLineChars="200"/>
        <w:rPr>
          <w:rFonts w:ascii="宋体" w:hAnsi="宋体"/>
          <w:bCs/>
          <w:sz w:val="18"/>
          <w:szCs w:val="18"/>
        </w:rPr>
      </w:pPr>
      <w:r>
        <w:rPr>
          <w:rFonts w:hint="eastAsia" w:ascii="宋体" w:hAnsi="宋体"/>
          <w:bCs/>
          <w:sz w:val="18"/>
          <w:szCs w:val="18"/>
        </w:rPr>
        <w:t>1）投资标准化债权类资产的风险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2）投资非标准化债权类资产的风险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（2）投资权益类资产的风险 </w:t>
      </w:r>
    </w:p>
    <w:p>
      <w:pPr>
        <w:spacing w:line="360" w:lineRule="auto"/>
        <w:ind w:firstLine="360" w:firstLineChars="200"/>
        <w:rPr>
          <w:rFonts w:ascii="宋体" w:hAnsi="宋体"/>
          <w:bCs/>
          <w:sz w:val="18"/>
          <w:szCs w:val="18"/>
        </w:rPr>
      </w:pPr>
      <w:r>
        <w:rPr>
          <w:rFonts w:hint="eastAsia" w:ascii="宋体" w:hAnsi="宋体"/>
          <w:bCs/>
          <w:sz w:val="18"/>
          <w:szCs w:val="18"/>
        </w:rPr>
        <w:t>1）投资股票类资产的风险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2）投资股权类资产的风险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（3）投资商品和金融衍生品类资产的风险 </w:t>
      </w:r>
    </w:p>
    <w:p>
      <w:pPr>
        <w:spacing w:line="360" w:lineRule="auto"/>
        <w:ind w:firstLine="360" w:firstLineChars="20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spacing w:line="360" w:lineRule="auto"/>
        <w:ind w:firstLine="361" w:firstLineChars="200"/>
        <w:rPr>
          <w:rFonts w:ascii="黑体" w:hAnsi="黑体" w:eastAsia="黑体"/>
          <w:sz w:val="18"/>
          <w:szCs w:val="18"/>
        </w:rPr>
      </w:pPr>
      <w:r>
        <w:rPr>
          <w:rFonts w:hint="eastAsia" w:ascii="宋体" w:hAnsi="宋体"/>
          <w:b/>
          <w:sz w:val="18"/>
          <w:szCs w:val="18"/>
        </w:rPr>
        <w:t>★注：以上特定风险仅为列举性质，未能详尽列明投资本产品可能面临的全部风险和可能导致投资者投资本金及收益损失的所有因素。</w:t>
      </w:r>
      <w:r>
        <w:rPr>
          <w:rFonts w:hint="eastAsia" w:ascii="黑体" w:hAnsi="黑体" w:eastAsia="黑体"/>
          <w:sz w:val="18"/>
          <w:szCs w:val="18"/>
        </w:rPr>
        <w:t xml:space="preserve"> </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.市场</w:t>
      </w:r>
      <w:r>
        <w:rPr>
          <w:rFonts w:ascii="宋体" w:hAnsi="宋体"/>
          <w:sz w:val="18"/>
          <w:szCs w:val="18"/>
        </w:rPr>
        <w:t>风险：</w:t>
      </w: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ascii="宋体" w:hAnsi="宋体"/>
          <w:sz w:val="18"/>
          <w:szCs w:val="18"/>
        </w:rPr>
        <w:t>5</w:t>
      </w:r>
      <w:r>
        <w:rPr>
          <w:rFonts w:hint="eastAsia" w:ascii="宋体" w:hAnsi="宋体"/>
          <w:sz w:val="18"/>
          <w:szCs w:val="18"/>
        </w:rPr>
        <w:t>.</w:t>
      </w:r>
      <w:r>
        <w:rPr>
          <w:rFonts w:ascii="宋体" w:hAnsi="宋体"/>
          <w:sz w:val="18"/>
          <w:szCs w:val="18"/>
        </w:rPr>
        <w:t>法律与政策风险：</w:t>
      </w: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w:t>
      </w:r>
      <w:r>
        <w:rPr>
          <w:rFonts w:ascii="宋体" w:hAnsi="宋体"/>
          <w:sz w:val="18"/>
          <w:szCs w:val="18"/>
        </w:rPr>
        <w:t>延期</w:t>
      </w:r>
      <w:r>
        <w:rPr>
          <w:rFonts w:hint="eastAsia" w:ascii="宋体" w:hAnsi="宋体"/>
          <w:sz w:val="18"/>
          <w:szCs w:val="18"/>
        </w:rPr>
        <w:t>分配</w:t>
      </w:r>
      <w:r>
        <w:rPr>
          <w:rFonts w:ascii="宋体" w:hAnsi="宋体"/>
          <w:sz w:val="18"/>
          <w:szCs w:val="18"/>
        </w:rPr>
        <w:t>风险：</w:t>
      </w: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w:t>
      </w:r>
      <w:r>
        <w:rPr>
          <w:rFonts w:ascii="宋体" w:hAnsi="宋体"/>
          <w:sz w:val="18"/>
          <w:szCs w:val="18"/>
        </w:rPr>
        <w:t>早偿风险：</w:t>
      </w:r>
      <w:r>
        <w:rPr>
          <w:rFonts w:hint="eastAsia" w:ascii="宋体" w:hAnsi="宋体"/>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ascii="黑体" w:hAnsi="黑体" w:eastAsia="黑体"/>
          <w:sz w:val="18"/>
          <w:szCs w:val="18"/>
        </w:rPr>
        <w:t>8. ★信息传递风险：</w:t>
      </w:r>
      <w:r>
        <w:rPr>
          <w:rFonts w:hint="eastAsia" w:ascii="黑体" w:hAnsi="黑体" w:eastAsia="黑体"/>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w:t>
      </w:r>
      <w:r>
        <w:rPr>
          <w:rFonts w:ascii="宋体" w:hAnsi="宋体"/>
          <w:sz w:val="18"/>
          <w:szCs w:val="18"/>
        </w:rPr>
        <w:t>不可抗力及意外事件风险：</w:t>
      </w: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bCs/>
          <w:sz w:val="18"/>
          <w:szCs w:val="18"/>
        </w:rPr>
      </w:pPr>
      <w:r>
        <w:rPr>
          <w:rFonts w:ascii="宋体" w:hAnsi="宋体"/>
          <w:sz w:val="18"/>
          <w:szCs w:val="18"/>
        </w:rPr>
        <w:t>10</w:t>
      </w:r>
      <w:r>
        <w:rPr>
          <w:rFonts w:hint="eastAsia" w:ascii="宋体" w:hAnsi="宋体"/>
          <w:sz w:val="18"/>
          <w:szCs w:val="18"/>
        </w:rPr>
        <w:t>.</w:t>
      </w:r>
      <w:r>
        <w:rPr>
          <w:rFonts w:ascii="宋体" w:hAnsi="宋体"/>
          <w:sz w:val="18"/>
          <w:szCs w:val="18"/>
        </w:rPr>
        <w:t>管理人风险：</w:t>
      </w:r>
      <w:r>
        <w:rPr>
          <w:rFonts w:hint="eastAsia" w:ascii="宋体" w:hAnsi="宋体"/>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pPr>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.理财产品不成立风险：如自本产品开始募集至认购期结束认购总金额未达到产品最小成立规模（如有约定），或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w:t>
      </w:r>
      <w:r>
        <w:rPr>
          <w:rFonts w:ascii="宋体" w:hAnsi="宋体"/>
          <w:sz w:val="18"/>
          <w:szCs w:val="18"/>
        </w:rPr>
        <w:t>操作风险：</w:t>
      </w: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13.估值</w:t>
      </w:r>
      <w:r>
        <w:rPr>
          <w:rFonts w:hint="eastAsia" w:ascii="宋体" w:hAnsi="宋体"/>
          <w:sz w:val="18"/>
          <w:szCs w:val="18"/>
        </w:rPr>
        <w:t>波动</w:t>
      </w:r>
      <w:r>
        <w:rPr>
          <w:rFonts w:ascii="宋体" w:hAnsi="宋体"/>
          <w:sz w:val="18"/>
          <w:szCs w:val="18"/>
        </w:rPr>
        <w:t>风险：</w:t>
      </w: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14</w:t>
      </w:r>
      <w:r>
        <w:rPr>
          <w:rFonts w:hint="eastAsia" w:ascii="宋体" w:hAnsi="宋体"/>
          <w:sz w:val="18"/>
          <w:szCs w:val="18"/>
        </w:rPr>
        <w:t>.</w:t>
      </w:r>
      <w:r>
        <w:rPr>
          <w:rFonts w:ascii="宋体" w:hAnsi="宋体"/>
          <w:sz w:val="18"/>
          <w:szCs w:val="18"/>
        </w:rPr>
        <w:t>估值差错风险：</w:t>
      </w: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宋体" w:hAnsi="宋体"/>
          <w:sz w:val="18"/>
          <w:szCs w:val="18"/>
        </w:rPr>
      </w:pPr>
      <w:r>
        <w:rPr>
          <w:rFonts w:ascii="宋体" w:hAnsi="宋体"/>
          <w:sz w:val="18"/>
          <w:szCs w:val="18"/>
        </w:rPr>
        <w:t>15</w:t>
      </w:r>
      <w:r>
        <w:rPr>
          <w:rFonts w:hint="eastAsia" w:ascii="宋体" w:hAnsi="宋体"/>
          <w:sz w:val="18"/>
          <w:szCs w:val="18"/>
        </w:rPr>
        <w:t>.★</w:t>
      </w:r>
      <w:r>
        <w:rPr>
          <w:rFonts w:hint="eastAsia" w:ascii="黑体" w:hAnsi="黑体" w:eastAsia="黑体"/>
          <w:sz w:val="18"/>
          <w:szCs w:val="18"/>
        </w:rPr>
        <w:t>代销风险：本理财产品若通过非产品管理人自有渠道进行销售的属于代理销售，认购</w:t>
      </w:r>
      <w:r>
        <w:rPr>
          <w:rFonts w:ascii="黑体" w:hAnsi="黑体" w:eastAsia="黑体"/>
          <w:sz w:val="18"/>
          <w:szCs w:val="18"/>
        </w:rPr>
        <w:t>/</w:t>
      </w:r>
      <w:r>
        <w:rPr>
          <w:rFonts w:hint="eastAsia" w:ascii="黑体" w:hAnsi="黑体" w:eastAsia="黑体"/>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hint="eastAsia" w:ascii="黑体" w:hAnsi="黑体" w:eastAsia="黑体"/>
          <w:sz w:val="18"/>
          <w:szCs w:val="18"/>
        </w:rPr>
        <w:t>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16.</w:t>
      </w:r>
      <w:r>
        <w:rPr>
          <w:rFonts w:hint="eastAsia" w:ascii="黑体" w:hAnsi="黑体" w:eastAsia="黑体"/>
          <w:sz w:val="18"/>
          <w:szCs w:val="18"/>
        </w:rPr>
        <w:t>★不同理财产品份额类别存在差异的风险：理财产品管理人可根据投资者购买理财产品的金额、销售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17.</w:t>
      </w:r>
      <w:r>
        <w:rPr>
          <w:rFonts w:hint="eastAsia" w:ascii="黑体" w:hAnsi="黑体" w:eastAsia="黑体"/>
          <w:sz w:val="18"/>
          <w:szCs w:val="18"/>
        </w:rPr>
        <w:t xml:space="preserve"> 关联交易风险</w:t>
      </w: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1" w:firstLineChars="200"/>
        <w:rPr>
          <w:rFonts w:ascii="黑体" w:hAnsi="黑体" w:eastAsia="黑体"/>
          <w:b/>
          <w:sz w:val="18"/>
          <w:szCs w:val="18"/>
        </w:rPr>
      </w:pPr>
      <w:r>
        <w:rPr>
          <w:rFonts w:hint="eastAsia" w:ascii="黑体" w:hAnsi="黑体" w:eastAsia="黑体"/>
          <w:b/>
          <w:sz w:val="18"/>
          <w:szCs w:val="18"/>
        </w:rPr>
        <w:t>（</w:t>
      </w:r>
      <w:r>
        <w:rPr>
          <w:rFonts w:ascii="黑体" w:hAnsi="黑体" w:eastAsia="黑体"/>
          <w:b/>
          <w:sz w:val="18"/>
          <w:szCs w:val="18"/>
        </w:rPr>
        <w:t>三</w:t>
      </w:r>
      <w:r>
        <w:rPr>
          <w:rFonts w:hint="eastAsia" w:ascii="黑体" w:hAnsi="黑体" w:eastAsia="黑体"/>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spacing w:line="360" w:lineRule="auto"/>
        <w:ind w:firstLine="360" w:firstLineChars="200"/>
        <w:rPr>
          <w:rFonts w:ascii="宋体" w:hAnsi="宋体"/>
          <w:sz w:val="18"/>
          <w:szCs w:val="18"/>
        </w:rPr>
      </w:pPr>
    </w:p>
    <w:p>
      <w:pPr>
        <w:pStyle w:val="34"/>
        <w:spacing w:line="360" w:lineRule="auto"/>
        <w:rPr>
          <w:rFonts w:hAnsi="宋体"/>
          <w:sz w:val="18"/>
          <w:szCs w:val="18"/>
        </w:rPr>
      </w:pPr>
    </w:p>
    <w:sectPr>
      <w:footerReference r:id="rId7"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ambria">
    <w:panose1 w:val="02040503050406030204"/>
    <w:charset w:val="00"/>
    <w:family w:val="roman"/>
    <w:pitch w:val="default"/>
    <w:sig w:usb0="E00006FF" w:usb1="400004FF" w:usb2="00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12</w:t>
        </w:r>
        <w:r>
          <w:fldChar w:fldCharType="end"/>
        </w:r>
      </w:p>
    </w:sdtContent>
  </w:sdt>
  <w:p>
    <w:pPr>
      <w:pStyle w:val="8"/>
      <w:jc w:val="both"/>
      <w:rPr>
        <w:rFonts w:ascii="黑体" w:hAnsi="黑体" w:eastAsia="黑体"/>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0"/>
      </w:pBdr>
      <w:tabs>
        <w:tab w:val="right" w:pos="8280"/>
      </w:tabs>
      <w:wordWrap w:val="0"/>
      <w:adjustRightInd w:val="0"/>
      <w:jc w:val="right"/>
      <w:rPr>
        <w:b/>
      </w:rPr>
    </w:pPr>
    <w:r>
      <w:rPr>
        <w:rFonts w:hint="eastAsia"/>
      </w:rPr>
      <w:t xml:space="preserve"> </w:t>
    </w:r>
    <w:r>
      <w:rPr>
        <w:rFonts w:hint="eastAsia"/>
        <w:b/>
      </w:rPr>
      <w:t>产品说明书</w:t>
    </w:r>
  </w:p>
  <w:p>
    <w:pPr>
      <w:pStyle w:val="15"/>
      <w:pBdr>
        <w:bottom w:val="thickThinLargeGap" w:color="auto" w:sz="24" w:space="0"/>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6E7124"/>
    <w:rsid w:val="0000208C"/>
    <w:rsid w:val="00002480"/>
    <w:rsid w:val="0001202B"/>
    <w:rsid w:val="000124BB"/>
    <w:rsid w:val="00014A51"/>
    <w:rsid w:val="000160F8"/>
    <w:rsid w:val="00020E26"/>
    <w:rsid w:val="00022093"/>
    <w:rsid w:val="000240C1"/>
    <w:rsid w:val="000241A4"/>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2C76"/>
    <w:rsid w:val="00042CE7"/>
    <w:rsid w:val="000438E6"/>
    <w:rsid w:val="00044823"/>
    <w:rsid w:val="00045941"/>
    <w:rsid w:val="000503D6"/>
    <w:rsid w:val="00050766"/>
    <w:rsid w:val="0005088E"/>
    <w:rsid w:val="00051DE2"/>
    <w:rsid w:val="00053136"/>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62"/>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47F9"/>
    <w:rsid w:val="00235999"/>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20153"/>
    <w:rsid w:val="003224C7"/>
    <w:rsid w:val="00327B62"/>
    <w:rsid w:val="00327E26"/>
    <w:rsid w:val="00330DD8"/>
    <w:rsid w:val="00330E24"/>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7726A"/>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2704"/>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3B0D"/>
    <w:rsid w:val="00485D45"/>
    <w:rsid w:val="00486A6C"/>
    <w:rsid w:val="00487444"/>
    <w:rsid w:val="00490E3D"/>
    <w:rsid w:val="004917FC"/>
    <w:rsid w:val="004922CC"/>
    <w:rsid w:val="004940D3"/>
    <w:rsid w:val="004960D3"/>
    <w:rsid w:val="004960F3"/>
    <w:rsid w:val="00497FEC"/>
    <w:rsid w:val="004A0C4A"/>
    <w:rsid w:val="004A0D93"/>
    <w:rsid w:val="004A1005"/>
    <w:rsid w:val="004A12AC"/>
    <w:rsid w:val="004A2354"/>
    <w:rsid w:val="004A5AB0"/>
    <w:rsid w:val="004B0D40"/>
    <w:rsid w:val="004B1194"/>
    <w:rsid w:val="004B1599"/>
    <w:rsid w:val="004B3136"/>
    <w:rsid w:val="004B5526"/>
    <w:rsid w:val="004C036F"/>
    <w:rsid w:val="004C1BF8"/>
    <w:rsid w:val="004C2000"/>
    <w:rsid w:val="004C35CE"/>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4EF"/>
    <w:rsid w:val="004F15A3"/>
    <w:rsid w:val="004F2F63"/>
    <w:rsid w:val="004F3355"/>
    <w:rsid w:val="004F45E5"/>
    <w:rsid w:val="004F483B"/>
    <w:rsid w:val="004F5319"/>
    <w:rsid w:val="004F58A4"/>
    <w:rsid w:val="004F75E3"/>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55FF"/>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67A31"/>
    <w:rsid w:val="0067005D"/>
    <w:rsid w:val="00672FF4"/>
    <w:rsid w:val="00675B54"/>
    <w:rsid w:val="006809FB"/>
    <w:rsid w:val="00682623"/>
    <w:rsid w:val="0068337B"/>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187"/>
    <w:rsid w:val="0078739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76A"/>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2153"/>
    <w:rsid w:val="00822FBD"/>
    <w:rsid w:val="00823AB7"/>
    <w:rsid w:val="00824828"/>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9069E"/>
    <w:rsid w:val="008912D3"/>
    <w:rsid w:val="008914CB"/>
    <w:rsid w:val="008937B1"/>
    <w:rsid w:val="00894A43"/>
    <w:rsid w:val="00895477"/>
    <w:rsid w:val="008969F4"/>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3C4"/>
    <w:rsid w:val="00A7660D"/>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0F5"/>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6270"/>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31D2"/>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48EB"/>
    <w:rsid w:val="00C25992"/>
    <w:rsid w:val="00C267E3"/>
    <w:rsid w:val="00C27B64"/>
    <w:rsid w:val="00C30167"/>
    <w:rsid w:val="00C308DC"/>
    <w:rsid w:val="00C31AC5"/>
    <w:rsid w:val="00C31CE3"/>
    <w:rsid w:val="00C31D0F"/>
    <w:rsid w:val="00C3206E"/>
    <w:rsid w:val="00C365F1"/>
    <w:rsid w:val="00C36EA2"/>
    <w:rsid w:val="00C37F27"/>
    <w:rsid w:val="00C40CC6"/>
    <w:rsid w:val="00C41E59"/>
    <w:rsid w:val="00C449B4"/>
    <w:rsid w:val="00C4510D"/>
    <w:rsid w:val="00C45FAF"/>
    <w:rsid w:val="00C471D2"/>
    <w:rsid w:val="00C4754D"/>
    <w:rsid w:val="00C50A1C"/>
    <w:rsid w:val="00C514CD"/>
    <w:rsid w:val="00C5311E"/>
    <w:rsid w:val="00C5343D"/>
    <w:rsid w:val="00C54A52"/>
    <w:rsid w:val="00C553D4"/>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32A6"/>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A0"/>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4F7F"/>
    <w:rsid w:val="00D859AC"/>
    <w:rsid w:val="00D86198"/>
    <w:rsid w:val="00D874EA"/>
    <w:rsid w:val="00D875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41C0"/>
    <w:rsid w:val="00DB53CB"/>
    <w:rsid w:val="00DB67F3"/>
    <w:rsid w:val="00DC11F9"/>
    <w:rsid w:val="00DC2867"/>
    <w:rsid w:val="00DC2BC4"/>
    <w:rsid w:val="00DC343A"/>
    <w:rsid w:val="00DD130F"/>
    <w:rsid w:val="00DD4131"/>
    <w:rsid w:val="00DD4387"/>
    <w:rsid w:val="00DD5B36"/>
    <w:rsid w:val="00DD7C42"/>
    <w:rsid w:val="00DE0C12"/>
    <w:rsid w:val="00DE295D"/>
    <w:rsid w:val="00DE2B95"/>
    <w:rsid w:val="00DE45E9"/>
    <w:rsid w:val="00DE51F9"/>
    <w:rsid w:val="00DE52FB"/>
    <w:rsid w:val="00DE56BC"/>
    <w:rsid w:val="00DE7F8F"/>
    <w:rsid w:val="00DF03B9"/>
    <w:rsid w:val="00DF0C4B"/>
    <w:rsid w:val="00DF0F34"/>
    <w:rsid w:val="00DF1657"/>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696"/>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15D8A"/>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7537"/>
    <w:rsid w:val="00F947DC"/>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3307"/>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1ADC"/>
    <w:rsid w:val="00FE225D"/>
    <w:rsid w:val="00FE4989"/>
    <w:rsid w:val="00FE5C3E"/>
    <w:rsid w:val="00FF0A2F"/>
    <w:rsid w:val="00FF1B04"/>
    <w:rsid w:val="00FF22F8"/>
    <w:rsid w:val="01654C82"/>
    <w:rsid w:val="01A31AE7"/>
    <w:rsid w:val="020A6A96"/>
    <w:rsid w:val="0356786B"/>
    <w:rsid w:val="03C96CBB"/>
    <w:rsid w:val="046E31C1"/>
    <w:rsid w:val="056C4F65"/>
    <w:rsid w:val="06F4696E"/>
    <w:rsid w:val="07245E56"/>
    <w:rsid w:val="0C023D8C"/>
    <w:rsid w:val="0C225D7B"/>
    <w:rsid w:val="0E94232E"/>
    <w:rsid w:val="0F1306D5"/>
    <w:rsid w:val="11295396"/>
    <w:rsid w:val="163E2FB7"/>
    <w:rsid w:val="17622796"/>
    <w:rsid w:val="19B81368"/>
    <w:rsid w:val="1A48157B"/>
    <w:rsid w:val="1BD70953"/>
    <w:rsid w:val="1BF87698"/>
    <w:rsid w:val="1D73517C"/>
    <w:rsid w:val="1E585AB7"/>
    <w:rsid w:val="1EB160C2"/>
    <w:rsid w:val="1FF145B9"/>
    <w:rsid w:val="2193546F"/>
    <w:rsid w:val="23E52B2F"/>
    <w:rsid w:val="2604494D"/>
    <w:rsid w:val="26F50BA9"/>
    <w:rsid w:val="27BD5E26"/>
    <w:rsid w:val="285E4249"/>
    <w:rsid w:val="29026D00"/>
    <w:rsid w:val="293556EA"/>
    <w:rsid w:val="2A126A80"/>
    <w:rsid w:val="2EA644DF"/>
    <w:rsid w:val="2FB532A0"/>
    <w:rsid w:val="319C4BEA"/>
    <w:rsid w:val="34C829B2"/>
    <w:rsid w:val="35381804"/>
    <w:rsid w:val="358D60A8"/>
    <w:rsid w:val="386A3F56"/>
    <w:rsid w:val="38D50832"/>
    <w:rsid w:val="39B27394"/>
    <w:rsid w:val="3A810EF7"/>
    <w:rsid w:val="3ACF0F3F"/>
    <w:rsid w:val="3C3802E9"/>
    <w:rsid w:val="3E586AB8"/>
    <w:rsid w:val="3E5C1B1D"/>
    <w:rsid w:val="3EAE14E9"/>
    <w:rsid w:val="3FD261A6"/>
    <w:rsid w:val="42EB2F9C"/>
    <w:rsid w:val="4407698D"/>
    <w:rsid w:val="45226963"/>
    <w:rsid w:val="4D39606F"/>
    <w:rsid w:val="4F8E3D4D"/>
    <w:rsid w:val="53063B85"/>
    <w:rsid w:val="533C1961"/>
    <w:rsid w:val="53B3493A"/>
    <w:rsid w:val="5418588F"/>
    <w:rsid w:val="5537323C"/>
    <w:rsid w:val="555A43BF"/>
    <w:rsid w:val="55855837"/>
    <w:rsid w:val="56503211"/>
    <w:rsid w:val="59190D64"/>
    <w:rsid w:val="598B567E"/>
    <w:rsid w:val="5C624734"/>
    <w:rsid w:val="5C7C0704"/>
    <w:rsid w:val="5FE91ABC"/>
    <w:rsid w:val="61386B66"/>
    <w:rsid w:val="61732124"/>
    <w:rsid w:val="628E734C"/>
    <w:rsid w:val="6580603B"/>
    <w:rsid w:val="6811538A"/>
    <w:rsid w:val="68C7223A"/>
    <w:rsid w:val="68EF6886"/>
    <w:rsid w:val="6BC34FBB"/>
    <w:rsid w:val="6EAA7DFD"/>
    <w:rsid w:val="6FDD1093"/>
    <w:rsid w:val="709C0126"/>
    <w:rsid w:val="76022652"/>
    <w:rsid w:val="768501BE"/>
    <w:rsid w:val="76C8601E"/>
    <w:rsid w:val="785F6471"/>
    <w:rsid w:val="78AB3944"/>
    <w:rsid w:val="79952C43"/>
    <w:rsid w:val="79BB3588"/>
    <w:rsid w:val="7BEA1CFE"/>
    <w:rsid w:val="7D803772"/>
    <w:rsid w:val="7D80556D"/>
    <w:rsid w:val="7E3713F1"/>
    <w:rsid w:val="7E9D5B85"/>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修订5"/>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8.xml"/><Relationship Id="rId27" Type="http://schemas.openxmlformats.org/officeDocument/2006/relationships/customXml" Target="../customXml/item17.xml"/><Relationship Id="rId26" Type="http://schemas.openxmlformats.org/officeDocument/2006/relationships/customXml" Target="../customXml/item16.xml"/><Relationship Id="rId25" Type="http://schemas.openxmlformats.org/officeDocument/2006/relationships/customXml" Target="../customXml/item15.xml"/><Relationship Id="rId24" Type="http://schemas.openxmlformats.org/officeDocument/2006/relationships/customXml" Target="../customXml/item14.xml"/><Relationship Id="rId23" Type="http://schemas.openxmlformats.org/officeDocument/2006/relationships/customXml" Target="../customXml/item13.xml"/><Relationship Id="rId22" Type="http://schemas.openxmlformats.org/officeDocument/2006/relationships/customXml" Target="../customXml/item12.xml"/><Relationship Id="rId21" Type="http://schemas.openxmlformats.org/officeDocument/2006/relationships/customXml" Target="../customXml/item11.xml"/><Relationship Id="rId20" Type="http://schemas.openxmlformats.org/officeDocument/2006/relationships/customXml" Target="../customXml/item10.xml"/><Relationship Id="rId2" Type="http://schemas.openxmlformats.org/officeDocument/2006/relationships/settings" Target="settings.xml"/><Relationship Id="rId19" Type="http://schemas.openxmlformats.org/officeDocument/2006/relationships/customXml" Target="../customXml/item9.xml"/><Relationship Id="rId18" Type="http://schemas.openxmlformats.org/officeDocument/2006/relationships/customXml" Target="../customXml/item8.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6D3D55C-3DD8-4C31-8069-E5508DD844FB}">
  <ds:schemaRefs/>
</ds:datastoreItem>
</file>

<file path=customXml/itemProps11.xml><?xml version="1.0" encoding="utf-8"?>
<ds:datastoreItem xmlns:ds="http://schemas.openxmlformats.org/officeDocument/2006/customXml" ds:itemID="{1A3BDF38-4832-4575-A8AB-7A1679738229}">
  <ds:schemaRefs/>
</ds:datastoreItem>
</file>

<file path=customXml/itemProps12.xml><?xml version="1.0" encoding="utf-8"?>
<ds:datastoreItem xmlns:ds="http://schemas.openxmlformats.org/officeDocument/2006/customXml" ds:itemID="{7E5C9D84-6DB6-48FB-8632-D5279FC233C8}">
  <ds:schemaRefs/>
</ds:datastoreItem>
</file>

<file path=customXml/itemProps13.xml><?xml version="1.0" encoding="utf-8"?>
<ds:datastoreItem xmlns:ds="http://schemas.openxmlformats.org/officeDocument/2006/customXml" ds:itemID="{79B37214-9E52-4241-8DD2-9E9CD9442006}">
  <ds:schemaRefs/>
</ds:datastoreItem>
</file>

<file path=customXml/itemProps14.xml><?xml version="1.0" encoding="utf-8"?>
<ds:datastoreItem xmlns:ds="http://schemas.openxmlformats.org/officeDocument/2006/customXml" ds:itemID="{2108FF18-8EC8-4170-A536-1AA8E39CC797}">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AC86F3EB-DB57-4B60-8A7E-BBB67A22EE0B}">
  <ds:schemaRefs/>
</ds:datastoreItem>
</file>

<file path=customXml/itemProps17.xml><?xml version="1.0" encoding="utf-8"?>
<ds:datastoreItem xmlns:ds="http://schemas.openxmlformats.org/officeDocument/2006/customXml" ds:itemID="{A06CD169-7F5C-4082-81B2-6ECAA9AF6149}">
  <ds:schemaRefs/>
</ds:datastoreItem>
</file>

<file path=customXml/itemProps18.xml><?xml version="1.0" encoding="utf-8"?>
<ds:datastoreItem xmlns:ds="http://schemas.openxmlformats.org/officeDocument/2006/customXml" ds:itemID="{0A7AA9EF-3B8C-4BAA-9155-A6E3E5337D3C}">
  <ds:schemaRefs/>
</ds:datastoreItem>
</file>

<file path=customXml/itemProps2.xml><?xml version="1.0" encoding="utf-8"?>
<ds:datastoreItem xmlns:ds="http://schemas.openxmlformats.org/officeDocument/2006/customXml" ds:itemID="{CF487381-D648-48A1-B1E4-A4540B0D3650}">
  <ds:schemaRefs/>
</ds:datastoreItem>
</file>

<file path=customXml/itemProps3.xml><?xml version="1.0" encoding="utf-8"?>
<ds:datastoreItem xmlns:ds="http://schemas.openxmlformats.org/officeDocument/2006/customXml" ds:itemID="{D902962D-C8CC-43BF-804A-CD60AE6D7475}">
  <ds:schemaRefs/>
</ds:datastoreItem>
</file>

<file path=customXml/itemProps4.xml><?xml version="1.0" encoding="utf-8"?>
<ds:datastoreItem xmlns:ds="http://schemas.openxmlformats.org/officeDocument/2006/customXml" ds:itemID="{1990A2D8-324F-45D5-B9CD-07245ED2860B}">
  <ds:schemaRefs/>
</ds:datastoreItem>
</file>

<file path=customXml/itemProps5.xml><?xml version="1.0" encoding="utf-8"?>
<ds:datastoreItem xmlns:ds="http://schemas.openxmlformats.org/officeDocument/2006/customXml" ds:itemID="{9114D43D-ED98-4C7B-A3AE-26D78B80CA82}">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BEEE0313-55EB-45FA-BBBD-C0232D367255}">
  <ds:schemaRefs/>
</ds:datastoreItem>
</file>

<file path=customXml/itemProps8.xml><?xml version="1.0" encoding="utf-8"?>
<ds:datastoreItem xmlns:ds="http://schemas.openxmlformats.org/officeDocument/2006/customXml" ds:itemID="{509BA638-9D3A-4AA3-A169-FF78BC0E4BE9}">
  <ds:schemaRefs/>
</ds:datastoreItem>
</file>

<file path=customXml/itemProps9.xml><?xml version="1.0" encoding="utf-8"?>
<ds:datastoreItem xmlns:ds="http://schemas.openxmlformats.org/officeDocument/2006/customXml" ds:itemID="{C3E8CB52-377B-46D2-8EC5-30F9C1B3623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42</Pages>
  <Words>4750</Words>
  <Characters>27076</Characters>
  <Lines>225</Lines>
  <Paragraphs>63</Paragraphs>
  <TotalTime>87</TotalTime>
  <ScaleCrop>false</ScaleCrop>
  <LinksUpToDate>false</LinksUpToDate>
  <CharactersWithSpaces>31763</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2021-09-06T06:01:00Z</dcterms:created>
  <dc:creator>张淼雯</dc:creator>
  <cp:lastModifiedBy>admin</cp:lastModifiedBy>
  <cp:lastPrinted>2022-01-18T08:37:00Z</cp:lastPrinted>
  <dcterms:modified xsi:type="dcterms:W3CDTF">2022-10-12T08:27:17Z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5466F5ED04264CD88390FDC4DDCA6BAE</vt:lpwstr>
  </property>
</Properties>
</file>